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media/image1.png" ContentType="image/png"/>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ontenudetableau"/>
        <w:spacing w:before="57" w:after="57"/>
        <w:rPr/>
      </w:pPr>
      <w:r>
        <w:drawing>
          <wp:anchor behindDoc="0" distT="0" distB="0" distL="0" distR="0" simplePos="0" locked="0" layoutInCell="0" allowOverlap="1" relativeHeight="2">
            <wp:simplePos x="0" y="0"/>
            <wp:positionH relativeFrom="column">
              <wp:posOffset>13970</wp:posOffset>
            </wp:positionH>
            <wp:positionV relativeFrom="paragraph">
              <wp:posOffset>106680</wp:posOffset>
            </wp:positionV>
            <wp:extent cx="1522730" cy="1101725"/>
            <wp:effectExtent l="0" t="0" r="0" b="0"/>
            <wp:wrapSquare wrapText="largest"/>
            <wp:docPr id="1" name="Image2" descr="Une image contenant Graphique, capture d’écran, graphisme, art&#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descr="Une image contenant Graphique, capture d’écran, graphisme, art&#10;&#10;Le contenu généré par l’IA peut être incorrect."/>
                    <pic:cNvPicPr>
                      <a:picLocks noChangeAspect="1" noChangeArrowheads="1"/>
                    </pic:cNvPicPr>
                  </pic:nvPicPr>
                  <pic:blipFill>
                    <a:blip r:embed="rId2"/>
                    <a:stretch>
                      <a:fillRect/>
                    </a:stretch>
                  </pic:blipFill>
                  <pic:spPr bwMode="auto">
                    <a:xfrm>
                      <a:off x="0" y="0"/>
                      <a:ext cx="1522730" cy="1101725"/>
                    </a:xfrm>
                    <a:prstGeom prst="rect">
                      <a:avLst/>
                    </a:prstGeom>
                    <a:noFill/>
                  </pic:spPr>
                </pic:pic>
              </a:graphicData>
            </a:graphic>
          </wp:anchor>
        </w:drawing>
      </w:r>
      <w:r>
        <w:rPr>
          <w:rStyle w:val="PageNumber"/>
          <w:b w:val="false"/>
          <w:szCs w:val="20"/>
        </w:rPr>
        <w:tab/>
      </w:r>
      <w:r>
        <w:rPr>
          <w:rStyle w:val="PageNumber"/>
          <w:b w:val="false"/>
          <w:szCs w:val="16"/>
        </w:rPr>
        <w:tab/>
      </w:r>
    </w:p>
    <w:tbl>
      <w:tblPr>
        <w:tblW w:w="16272" w:type="dxa"/>
        <w:jc w:val="left"/>
        <w:tblInd w:w="0" w:type="dxa"/>
        <w:tblLayout w:type="fixed"/>
        <w:tblCellMar>
          <w:top w:w="55" w:type="dxa"/>
          <w:left w:w="55" w:type="dxa"/>
          <w:bottom w:w="55" w:type="dxa"/>
          <w:right w:w="55" w:type="dxa"/>
        </w:tblCellMar>
      </w:tblPr>
      <w:tblGrid>
        <w:gridCol w:w="9232"/>
        <w:gridCol w:w="7039"/>
      </w:tblGrid>
      <w:tr>
        <w:trPr>
          <w:trHeight w:val="338" w:hRule="atLeast"/>
        </w:trPr>
        <w:tc>
          <w:tcPr>
            <w:tcW w:w="9232" w:type="dxa"/>
            <w:vMerge w:val="restart"/>
            <w:tcBorders/>
          </w:tcPr>
          <w:p>
            <w:pPr>
              <w:pStyle w:val="Contenudetableau"/>
              <w:spacing w:before="0" w:after="0"/>
              <w:rPr/>
            </w:pPr>
            <w:r>
              <w:rPr/>
            </w:r>
          </w:p>
          <w:p>
            <w:pPr>
              <w:pStyle w:val="Contenudetableau"/>
              <w:spacing w:before="0" w:after="0"/>
              <w:rPr/>
            </w:pPr>
            <w:r>
              <w:rPr/>
            </w:r>
          </w:p>
          <w:p>
            <w:pPr>
              <w:pStyle w:val="Contenudetableau"/>
              <w:spacing w:before="0" w:after="0"/>
              <w:rPr/>
            </w:pPr>
            <w:r>
              <w:rPr/>
            </w:r>
          </w:p>
          <w:p>
            <w:pPr>
              <w:pStyle w:val="Contenudetableau"/>
              <w:spacing w:before="0" w:after="0"/>
              <w:rPr/>
            </w:pPr>
            <w:r>
              <w:rPr/>
            </w:r>
          </w:p>
          <w:p>
            <w:pPr>
              <w:pStyle w:val="Contenudetableau"/>
              <w:spacing w:before="0" w:after="0"/>
              <w:rPr/>
            </w:pPr>
            <w:r>
              <w:rPr/>
            </w:r>
          </w:p>
          <w:p>
            <w:pPr>
              <w:pStyle w:val="Contenudetableau"/>
              <w:spacing w:before="0" w:after="0"/>
              <w:rPr/>
            </w:pPr>
            <w:r>
              <w:rPr/>
            </w:r>
          </w:p>
          <w:p>
            <w:pPr>
              <w:pStyle w:val="Contenudetableau"/>
              <w:spacing w:before="0" w:after="0"/>
              <w:rPr/>
            </w:pPr>
            <w:r>
              <w:rPr/>
            </w:r>
          </w:p>
        </w:tc>
        <w:tc>
          <w:tcPr>
            <w:tcW w:w="7039" w:type="dxa"/>
            <w:tcBorders/>
          </w:tcPr>
          <w:p>
            <w:pPr>
              <w:pStyle w:val="NormalWeb"/>
              <w:tabs>
                <w:tab w:val="clear" w:pos="708"/>
                <w:tab w:val="left" w:pos="797" w:leader="none"/>
                <w:tab w:val="right" w:pos="9977" w:leader="none"/>
              </w:tabs>
              <w:spacing w:before="0" w:after="0"/>
              <w:rPr>
                <w:rFonts w:ascii="Marianne" w:hAnsi="Marianne" w:eastAsia="Arial Unicode MS" w:cs="Calibri"/>
                <w:b/>
                <w:bCs/>
              </w:rPr>
            </w:pPr>
            <w:r>
              <w:rPr>
                <w:rFonts w:eastAsia="Arial Unicode MS" w:cs="Calibri" w:ascii="Marianne" w:hAnsi="Marianne"/>
                <w:b/>
                <w:bCs/>
              </w:rPr>
            </w:r>
          </w:p>
        </w:tc>
      </w:tr>
      <w:tr>
        <w:trPr/>
        <w:tc>
          <w:tcPr>
            <w:tcW w:w="9232" w:type="dxa"/>
            <w:vMerge w:val="continue"/>
            <w:tcBorders/>
          </w:tcPr>
          <w:p>
            <w:pPr>
              <w:pStyle w:val="Normal"/>
              <w:rPr/>
            </w:pPr>
            <w:r>
              <w:rPr/>
            </w:r>
          </w:p>
        </w:tc>
        <w:tc>
          <w:tcPr>
            <w:tcW w:w="7039" w:type="dxa"/>
            <w:tcBorders/>
          </w:tcPr>
          <w:p>
            <w:pPr>
              <w:pStyle w:val="NormalWeb"/>
              <w:tabs>
                <w:tab w:val="clear" w:pos="708"/>
                <w:tab w:val="left" w:pos="797" w:leader="none"/>
                <w:tab w:val="right" w:pos="9977" w:leader="none"/>
              </w:tabs>
              <w:spacing w:before="0" w:after="0"/>
              <w:rPr>
                <w:rFonts w:ascii="Marianne" w:hAnsi="Marianne" w:eastAsia="Arial Unicode MS" w:cs="Calibri"/>
                <w:b/>
                <w:bCs/>
              </w:rPr>
            </w:pPr>
            <w:r>
              <w:rPr>
                <w:rFonts w:eastAsia="Arial Unicode MS" w:cs="Calibri" w:ascii="Marianne" w:hAnsi="Marianne"/>
                <w:b/>
                <w:bCs/>
              </w:rPr>
              <w:t>Gendarmerie nationale</w:t>
            </w:r>
          </w:p>
        </w:tc>
      </w:tr>
    </w:tbl>
    <w:p>
      <w:pPr>
        <w:pStyle w:val="Standard"/>
        <w:spacing w:before="0" w:after="0"/>
        <w:rPr/>
      </w:pPr>
      <w:r>
        <w:rPr/>
        <w:t>RÉGION DE GENDARMERIE DE BRETAGNE</w:t>
      </w:r>
    </w:p>
    <w:p>
      <w:pPr>
        <w:pStyle w:val="Standard"/>
        <w:spacing w:before="0" w:after="0"/>
        <w:rPr/>
      </w:pPr>
      <w:r>
        <w:rPr/>
        <w:t>Division de l'appui opérationnel</w:t>
      </w:r>
    </w:p>
    <w:p>
      <w:pPr>
        <w:pStyle w:val="Standard"/>
        <w:spacing w:before="0" w:after="0"/>
        <w:rPr/>
      </w:pPr>
      <w:r>
        <w:rPr/>
        <w:t>Bureau du budget et de l'administration</w:t>
      </w:r>
    </w:p>
    <w:p>
      <w:pPr>
        <w:pStyle w:val="Standard"/>
        <w:spacing w:before="0" w:after="0"/>
        <w:rPr/>
      </w:pPr>
      <w:r>
        <w:rPr/>
        <w:t>Section de l'administration</w:t>
      </w:r>
    </w:p>
    <w:p>
      <w:pPr>
        <w:pStyle w:val="Standard"/>
        <w:spacing w:before="0" w:after="0"/>
        <w:rPr/>
      </w:pPr>
      <w:r>
        <w:rPr/>
        <w:t>85 Bd Clemenceau</w:t>
      </w:r>
    </w:p>
    <w:p>
      <w:pPr>
        <w:pStyle w:val="Standard"/>
        <w:spacing w:before="0" w:after="0"/>
        <w:rPr/>
      </w:pPr>
      <w:r>
        <w:rPr/>
        <w:t xml:space="preserve">35000 RENNES </w:t>
      </w:r>
    </w:p>
    <w:p>
      <w:pPr>
        <w:pStyle w:val="Standard"/>
        <w:spacing w:before="0" w:after="0"/>
        <w:rPr/>
      </w:pPr>
      <w:r>
        <w:rPr/>
        <w:t>Tél. : 02 99 32 53 73</w:t>
      </w:r>
    </w:p>
    <w:p>
      <w:pPr>
        <w:pStyle w:val="Standard"/>
        <w:rPr/>
      </w:pPr>
      <w:r>
        <w:rPr/>
      </w:r>
    </w:p>
    <w:p>
      <w:pPr>
        <w:pStyle w:val="Standard"/>
        <w:keepNext w:val="false"/>
        <w:keepLines w:val="false"/>
        <w:pageBreakBefore w:val="false"/>
        <w:widowControl w:val="false"/>
        <w:pBdr>
          <w:top w:val="single" w:sz="8" w:space="1" w:color="000000"/>
          <w:left w:val="single" w:sz="8" w:space="4" w:color="000000"/>
          <w:bottom w:val="single" w:sz="8" w:space="1" w:color="000000"/>
          <w:right w:val="single" w:sz="8" w:space="4" w:color="000000"/>
        </w:pBdr>
        <w:shd w:val="clear" w:fill="auto"/>
        <w:suppressAutoHyphens w:val="true"/>
        <w:overflowPunct w:val="true"/>
        <w:bidi w:val="0"/>
        <w:snapToGrid w:val="true"/>
        <w:spacing w:before="0" w:after="0"/>
        <w:ind w:hanging="0" w:left="113" w:right="113"/>
        <w:jc w:val="center"/>
        <w:rPr/>
      </w:pPr>
      <w:r>
        <w:rPr>
          <w:rFonts w:cs="Arial"/>
          <w:b/>
          <w:sz w:val="28"/>
          <w:szCs w:val="28"/>
        </w:rPr>
        <w:t>OBJET DU MARCHÉ :</w:t>
      </w:r>
    </w:p>
    <w:p>
      <w:pPr>
        <w:pStyle w:val="Standard"/>
        <w:keepNext w:val="false"/>
        <w:keepLines w:val="false"/>
        <w:pageBreakBefore w:val="false"/>
        <w:widowControl w:val="false"/>
        <w:pBdr>
          <w:top w:val="single" w:sz="8" w:space="1" w:color="000000"/>
          <w:left w:val="single" w:sz="8" w:space="4" w:color="000000"/>
          <w:bottom w:val="single" w:sz="8" w:space="1" w:color="000000"/>
          <w:right w:val="single" w:sz="8" w:space="4" w:color="000000"/>
        </w:pBdr>
        <w:shd w:val="clear" w:fill="auto"/>
        <w:suppressAutoHyphens w:val="true"/>
        <w:overflowPunct w:val="true"/>
        <w:bidi w:val="0"/>
        <w:snapToGrid w:val="true"/>
        <w:spacing w:before="0" w:after="0"/>
        <w:ind w:hanging="0" w:left="113" w:right="113"/>
        <w:jc w:val="center"/>
        <w:rPr>
          <w:rFonts w:cs="Arial"/>
          <w:b/>
          <w:sz w:val="28"/>
          <w:szCs w:val="28"/>
        </w:rPr>
      </w:pPr>
      <w:r>
        <w:rPr>
          <w:rFonts w:cs="Arial"/>
          <w:b/>
          <w:sz w:val="28"/>
          <w:szCs w:val="28"/>
        </w:rPr>
      </w:r>
    </w:p>
    <w:p>
      <w:pPr>
        <w:pStyle w:val="BodyText"/>
        <w:keepNext w:val="false"/>
        <w:keepLines w:val="false"/>
        <w:pageBreakBefore w:val="false"/>
        <w:widowControl w:val="false"/>
        <w:pBdr>
          <w:top w:val="single" w:sz="8" w:space="1" w:color="000000"/>
          <w:left w:val="single" w:sz="8" w:space="4" w:color="000000"/>
          <w:bottom w:val="single" w:sz="8" w:space="1" w:color="000000"/>
          <w:right w:val="single" w:sz="8" w:space="4" w:color="000000"/>
        </w:pBdr>
        <w:shd w:val="clear" w:fill="auto"/>
        <w:tabs>
          <w:tab w:val="clear" w:pos="708"/>
          <w:tab w:val="left" w:pos="7923" w:leader="dot"/>
        </w:tabs>
        <w:suppressAutoHyphens w:val="true"/>
        <w:overflowPunct w:val="true"/>
        <w:bidi w:val="0"/>
        <w:snapToGrid w:val="true"/>
        <w:spacing w:before="0" w:after="0"/>
        <w:ind w:hanging="0" w:left="113" w:right="113"/>
        <w:jc w:val="center"/>
        <w:rPr/>
      </w:pPr>
      <w:r>
        <w:rPr>
          <w:rFonts w:eastAsia="Times New Roman" w:cs="Times New Roman" w:ascii="Marianne" w:hAnsi="Marianne"/>
          <w:b/>
          <w:bCs/>
          <w:color w:val="000000"/>
          <w:sz w:val="28"/>
          <w:szCs w:val="28"/>
          <w:shd w:fill="auto" w:val="clear"/>
          <w:lang w:val="fr-FR" w:bidi="ar-SA"/>
        </w:rPr>
        <w:t>Travaux de remplacement des réseaux de distribution de chauffage et d’eau chaude sanitaire entre les bâtiments et la mise en place de sous-stations dans les logements famille à Brest (29)</w:t>
      </w:r>
    </w:p>
    <w:p>
      <w:pPr>
        <w:pStyle w:val="Standard"/>
        <w:keepNext w:val="false"/>
        <w:keepLines w:val="false"/>
        <w:pageBreakBefore w:val="false"/>
        <w:widowControl w:val="false"/>
        <w:pBdr>
          <w:top w:val="single" w:sz="8" w:space="1" w:color="000000"/>
          <w:left w:val="single" w:sz="8" w:space="4" w:color="000000"/>
          <w:bottom w:val="single" w:sz="8" w:space="1" w:color="000000"/>
          <w:right w:val="single" w:sz="8" w:space="4" w:color="000000"/>
        </w:pBdr>
        <w:shd w:val="clear" w:fill="auto"/>
        <w:suppressAutoHyphens w:val="true"/>
        <w:overflowPunct w:val="true"/>
        <w:bidi w:val="0"/>
        <w:snapToGrid w:val="true"/>
        <w:spacing w:before="0" w:after="0"/>
        <w:ind w:hanging="0" w:left="113" w:right="113"/>
        <w:jc w:val="center"/>
        <w:rPr>
          <w:rFonts w:eastAsia="MS Mincho" w:cs="Arial"/>
          <w:b/>
          <w:bCs/>
          <w:sz w:val="28"/>
          <w:szCs w:val="28"/>
          <w:lang w:eastAsia="ar-SA"/>
        </w:rPr>
      </w:pPr>
      <w:r>
        <w:rPr>
          <w:rFonts w:eastAsia="MS Mincho" w:cs="Arial"/>
          <w:b/>
          <w:bCs/>
          <w:sz w:val="28"/>
          <w:szCs w:val="28"/>
          <w:lang w:eastAsia="ar-SA"/>
        </w:rPr>
      </w:r>
    </w:p>
    <w:p>
      <w:pPr>
        <w:pStyle w:val="NormalWeb"/>
        <w:spacing w:before="0" w:after="0"/>
        <w:jc w:val="center"/>
        <w:rPr>
          <w:rFonts w:ascii="Arial" w:hAnsi="Arial" w:eastAsia="MS Mincho" w:cs="Arial"/>
          <w:b/>
          <w:bCs/>
          <w:sz w:val="20"/>
          <w:szCs w:val="20"/>
          <w:lang w:eastAsia="ar-SA"/>
        </w:rPr>
      </w:pPr>
      <w:r>
        <w:rPr>
          <w:rFonts w:eastAsia="MS Mincho" w:cs="Arial" w:ascii="Arial" w:hAnsi="Arial"/>
          <w:b/>
          <w:bCs/>
          <w:sz w:val="20"/>
          <w:szCs w:val="20"/>
          <w:lang w:eastAsia="ar-SA"/>
        </w:rPr>
      </w:r>
    </w:p>
    <w:p>
      <w:pPr>
        <w:pStyle w:val="Standard"/>
        <w:jc w:val="center"/>
        <w:rPr>
          <w:rFonts w:eastAsia="MS Mincho"/>
          <w:b/>
          <w:bCs/>
          <w:sz w:val="24"/>
          <w:szCs w:val="24"/>
          <w:lang w:eastAsia="ar-SA"/>
        </w:rPr>
      </w:pPr>
      <w:r>
        <w:rPr>
          <w:rFonts w:eastAsia="Marianne" w:cs="Marianne"/>
          <w:b/>
          <w:bCs/>
          <w:sz w:val="24"/>
          <w:szCs w:val="24"/>
          <w:lang w:eastAsia="ar-SA"/>
        </w:rPr>
        <w:t></w:t>
      </w:r>
      <w:r>
        <w:rPr>
          <w:rFonts w:eastAsia="MS Mincho" w:cs="Marianne"/>
          <w:b/>
          <w:bCs/>
          <w:sz w:val="24"/>
          <w:szCs w:val="24"/>
          <w:lang w:eastAsia="ar-SA"/>
        </w:rPr>
        <w:t xml:space="preserve"> </w:t>
      </w:r>
      <w:r>
        <w:rPr>
          <w:rFonts w:eastAsia="MS Mincho"/>
          <w:b/>
          <w:bCs/>
          <w:sz w:val="24"/>
          <w:szCs w:val="24"/>
          <w:lang w:eastAsia="ar-SA"/>
        </w:rPr>
        <w:t>LOT 1 – TERRASSEMENT / VRD</w:t>
        <w:tab/>
        <w:tab/>
        <w:tab/>
        <w:tab/>
      </w:r>
      <w:r>
        <w:rPr>
          <w:rFonts w:eastAsia="Marianne" w:cs="Marianne"/>
          <w:b/>
          <w:bCs/>
          <w:sz w:val="24"/>
          <w:szCs w:val="24"/>
          <w:lang w:eastAsia="ar-SA"/>
        </w:rPr>
        <w:t></w:t>
      </w:r>
      <w:r>
        <w:rPr>
          <w:rFonts w:eastAsia="MS Mincho" w:cs="Marianne"/>
          <w:b/>
          <w:bCs/>
          <w:sz w:val="24"/>
          <w:szCs w:val="24"/>
          <w:lang w:eastAsia="ar-SA"/>
        </w:rPr>
        <w:t xml:space="preserve">  </w:t>
      </w:r>
      <w:r>
        <w:rPr>
          <w:rFonts w:eastAsia="MS Mincho"/>
          <w:b/>
          <w:bCs/>
          <w:sz w:val="24"/>
          <w:szCs w:val="24"/>
          <w:lang w:eastAsia="ar-SA"/>
        </w:rPr>
        <w:t>LOT 2 – GROS OEUVRE / SERRURERIE</w:t>
        <w:tab/>
        <w:tab/>
        <w:tab/>
        <w:tab/>
      </w:r>
      <w:r>
        <w:rPr>
          <w:rFonts w:eastAsia="Marianne" w:cs="Marianne"/>
          <w:b/>
          <w:bCs/>
          <w:sz w:val="24"/>
          <w:szCs w:val="24"/>
          <w:lang w:eastAsia="ar-SA"/>
        </w:rPr>
        <w:t></w:t>
      </w:r>
      <w:r>
        <w:rPr>
          <w:rFonts w:eastAsia="MS Mincho" w:cs="Marianne"/>
          <w:b/>
          <w:bCs/>
          <w:sz w:val="24"/>
          <w:szCs w:val="24"/>
          <w:lang w:eastAsia="ar-SA"/>
        </w:rPr>
        <w:t xml:space="preserve">  </w:t>
      </w:r>
      <w:r>
        <w:rPr>
          <w:rFonts w:eastAsia="MS Mincho"/>
          <w:b/>
          <w:bCs/>
          <w:sz w:val="24"/>
          <w:szCs w:val="24"/>
          <w:lang w:eastAsia="ar-SA"/>
        </w:rPr>
        <w:t>LOT 3 – CVC</w:t>
      </w:r>
    </w:p>
    <w:p>
      <w:pPr>
        <w:pStyle w:val="Standard"/>
        <w:jc w:val="center"/>
        <w:rPr>
          <w:rFonts w:eastAsia="MS Mincho"/>
          <w:lang w:eastAsia="ar-SA"/>
        </w:rPr>
      </w:pPr>
      <w:r>
        <w:rPr>
          <w:rFonts w:eastAsia="MS Mincho"/>
          <w:lang w:eastAsia="ar-SA"/>
        </w:rPr>
      </w:r>
    </w:p>
    <w:p>
      <w:pPr>
        <w:pStyle w:val="Standard"/>
        <w:jc w:val="center"/>
        <w:rPr>
          <w:rFonts w:eastAsia="MS Mincho"/>
          <w:lang w:eastAsia="ar-SA"/>
        </w:rPr>
      </w:pPr>
      <w:r>
        <w:rPr>
          <w:rFonts w:eastAsia="MS Mincho"/>
          <w:lang w:eastAsia="ar-SA"/>
        </w:rPr>
        <w:t>CADRE DE RÉPONSE TECHNIQUE SERVANT DE BASE A L’ANALYSE DES PLIS</w:t>
      </w:r>
    </w:p>
    <w:p>
      <w:pPr>
        <w:pStyle w:val="Standard"/>
        <w:rPr/>
      </w:pPr>
      <w:r>
        <w:rPr/>
      </w:r>
    </w:p>
    <w:p>
      <w:pPr>
        <w:pStyle w:val="Standard"/>
        <w:jc w:val="center"/>
        <w:rPr/>
      </w:pPr>
      <w:r>
        <w:rPr/>
        <w:t>Les cellules de ce document peuvent être adaptées aux besoins du titulaire tout en conservant la mise en forme.</w:t>
      </w:r>
    </w:p>
    <w:p>
      <w:pPr>
        <w:pStyle w:val="Standard"/>
        <w:jc w:val="center"/>
        <w:rPr/>
      </w:pPr>
      <w:r>
        <w:rPr/>
        <w:t>L’ensemble des rubriques doit être renseigné.</w:t>
      </w:r>
    </w:p>
    <w:p>
      <w:pPr>
        <w:pStyle w:val="Standard"/>
        <w:rPr/>
      </w:pPr>
      <w:r>
        <w:rPr/>
      </w:r>
    </w:p>
    <w:p>
      <w:pPr>
        <w:pStyle w:val="Standard"/>
        <w:rPr/>
      </w:pPr>
      <w:r>
        <w:rPr>
          <w:rStyle w:val="Policepardfaut"/>
          <w:szCs w:val="20"/>
        </w:rPr>
        <w:t>Les candidats respecteront le cadre et le canevas proposés dans ce document.</w:t>
      </w:r>
    </w:p>
    <w:p>
      <w:pPr>
        <w:pStyle w:val="Standard"/>
        <w:rPr>
          <w:b/>
          <w:bCs/>
          <w:szCs w:val="20"/>
        </w:rPr>
      </w:pPr>
      <w:r>
        <w:rPr>
          <w:b/>
          <w:bCs/>
          <w:szCs w:val="20"/>
        </w:rPr>
        <w:t>Les réponses devront être un maximum rédigées dans les cases dédiées, les renvois aux documents ne seront acceptés que pour préciser des éléments de réponses.</w:t>
      </w:r>
    </w:p>
    <w:p>
      <w:pPr>
        <w:pStyle w:val="Normal"/>
        <w:rPr>
          <w:rFonts w:ascii="Marianne" w:hAnsi="Marianne" w:eastAsia="Marianne" w:cs="Marianne"/>
          <w:sz w:val="20"/>
        </w:rPr>
      </w:pPr>
      <w:r>
        <w:rPr>
          <w:rFonts w:eastAsia="Marianne" w:cs="Marianne" w:ascii="Marianne" w:hAnsi="Marianne"/>
          <w:sz w:val="20"/>
        </w:rPr>
      </w:r>
      <w:r>
        <w:br w:type="page"/>
      </w:r>
    </w:p>
    <w:p>
      <w:pPr>
        <w:pStyle w:val="Normal1"/>
        <w:spacing w:before="0" w:after="0"/>
        <w:rPr/>
      </w:pPr>
      <w:r>
        <w:rPr/>
      </w:r>
    </w:p>
    <w:tbl>
      <w:tblPr>
        <w:tblW w:w="16167" w:type="dxa"/>
        <w:jc w:val="left"/>
        <w:tblInd w:w="105" w:type="dxa"/>
        <w:tblLayout w:type="fixed"/>
        <w:tblCellMar>
          <w:top w:w="55" w:type="dxa"/>
          <w:left w:w="55" w:type="dxa"/>
          <w:bottom w:w="55" w:type="dxa"/>
          <w:right w:w="55" w:type="dxa"/>
        </w:tblCellMar>
      </w:tblPr>
      <w:tblGrid>
        <w:gridCol w:w="8033"/>
        <w:gridCol w:w="8133"/>
      </w:tblGrid>
      <w:tr>
        <w:trPr>
          <w:trHeight w:val="1423" w:hRule="atLeast"/>
        </w:trPr>
        <w:tc>
          <w:tcPr>
            <w:tcW w:w="16166" w:type="dxa"/>
            <w:gridSpan w:val="2"/>
            <w:tcBorders>
              <w:top w:val="single" w:sz="2" w:space="0" w:color="000000"/>
              <w:left w:val="single" w:sz="2" w:space="0" w:color="000000"/>
              <w:bottom w:val="single" w:sz="2" w:space="0" w:color="000000"/>
              <w:right w:val="single" w:sz="2" w:space="0" w:color="000000"/>
            </w:tcBorders>
            <w:vAlign w:val="center"/>
          </w:tcPr>
          <w:p>
            <w:pPr>
              <w:pStyle w:val="Textbody"/>
              <w:jc w:val="center"/>
              <w:rPr>
                <w:b/>
                <w:bCs/>
                <w:u w:val="single"/>
              </w:rPr>
            </w:pPr>
            <w:r>
              <w:rPr>
                <w:b/>
                <w:bCs/>
                <w:u w:val="single"/>
              </w:rPr>
              <w:t>Présentation de l’entreprise candidate</w:t>
            </w:r>
          </w:p>
          <w:p>
            <w:pPr>
              <w:pStyle w:val="Standard"/>
              <w:suppressAutoHyphens w:val="true"/>
              <w:spacing w:before="57" w:after="57"/>
              <w:jc w:val="both"/>
              <w:rPr/>
            </w:pPr>
            <w:r>
              <w:rPr/>
              <w:t>(sur 1 à 2 pages maximum, détaillant notamment leur aptitude à exercer l’activité professionnelle dans le cadre de l’objet du marché)</w:t>
            </w:r>
          </w:p>
        </w:tc>
      </w:tr>
      <w:tr>
        <w:trPr>
          <w:trHeight w:val="3969" w:hRule="atLeast"/>
        </w:trPr>
        <w:tc>
          <w:tcPr>
            <w:tcW w:w="8033" w:type="dxa"/>
            <w:tcBorders>
              <w:left w:val="single" w:sz="2" w:space="0" w:color="000000"/>
              <w:bottom w:val="single" w:sz="2" w:space="0" w:color="000000"/>
            </w:tcBorders>
            <w:vAlign w:val="center"/>
          </w:tcPr>
          <w:p>
            <w:pPr>
              <w:pStyle w:val="Stylepardfaut2"/>
              <w:suppressAutoHyphens w:val="true"/>
              <w:spacing w:before="57" w:after="57"/>
              <w:rPr/>
            </w:pPr>
            <w:r>
              <w:rPr/>
              <w:t>Identité juridique</w:t>
            </w:r>
          </w:p>
        </w:tc>
        <w:tc>
          <w:tcPr>
            <w:tcW w:w="8133" w:type="dxa"/>
            <w:tcBorders>
              <w:left w:val="single" w:sz="2" w:space="0" w:color="000000"/>
              <w:bottom w:val="single" w:sz="2" w:space="0" w:color="000000"/>
              <w:right w:val="single" w:sz="2" w:space="0" w:color="000000"/>
            </w:tcBorders>
            <w:vAlign w:val="center"/>
          </w:tcPr>
          <w:p>
            <w:pPr>
              <w:pStyle w:val="Stylepardfaut2"/>
              <w:suppressAutoHyphens w:val="true"/>
              <w:spacing w:before="57" w:after="57"/>
              <w:rPr/>
            </w:pPr>
            <w:r>
              <w:rPr/>
            </w:r>
          </w:p>
        </w:tc>
      </w:tr>
      <w:tr>
        <w:trPr>
          <w:trHeight w:val="3969" w:hRule="atLeast"/>
        </w:trPr>
        <w:tc>
          <w:tcPr>
            <w:tcW w:w="8033" w:type="dxa"/>
            <w:tcBorders>
              <w:left w:val="single" w:sz="2" w:space="0" w:color="000000"/>
              <w:bottom w:val="single" w:sz="2" w:space="0" w:color="000000"/>
            </w:tcBorders>
            <w:vAlign w:val="center"/>
          </w:tcPr>
          <w:p>
            <w:pPr>
              <w:pStyle w:val="Stylepardfaut2"/>
              <w:suppressAutoHyphens w:val="true"/>
              <w:spacing w:before="57" w:after="57"/>
              <w:rPr/>
            </w:pPr>
            <w:r>
              <w:rPr/>
              <w:t>Localisation siège social et des agences concernées.</w:t>
            </w:r>
          </w:p>
        </w:tc>
        <w:tc>
          <w:tcPr>
            <w:tcW w:w="8133" w:type="dxa"/>
            <w:tcBorders>
              <w:left w:val="single" w:sz="2" w:space="0" w:color="000000"/>
              <w:bottom w:val="single" w:sz="2" w:space="0" w:color="000000"/>
              <w:right w:val="single" w:sz="2" w:space="0" w:color="000000"/>
            </w:tcBorders>
            <w:vAlign w:val="center"/>
          </w:tcPr>
          <w:p>
            <w:pPr>
              <w:pStyle w:val="Stylepardfaut2"/>
              <w:suppressAutoHyphens w:val="true"/>
              <w:spacing w:before="57" w:after="57"/>
              <w:rPr/>
            </w:pPr>
            <w:r>
              <w:rPr/>
            </w:r>
          </w:p>
        </w:tc>
      </w:tr>
      <w:tr>
        <w:trPr>
          <w:trHeight w:val="3969" w:hRule="atLeast"/>
        </w:trPr>
        <w:tc>
          <w:tcPr>
            <w:tcW w:w="8033" w:type="dxa"/>
            <w:tcBorders>
              <w:left w:val="single" w:sz="2" w:space="0" w:color="000000"/>
              <w:bottom w:val="single" w:sz="2" w:space="0" w:color="000000"/>
            </w:tcBorders>
            <w:vAlign w:val="center"/>
          </w:tcPr>
          <w:p>
            <w:pPr>
              <w:pStyle w:val="Stylepardfaut2"/>
              <w:suppressAutoHyphens w:val="true"/>
              <w:spacing w:before="57" w:after="57"/>
              <w:rPr/>
            </w:pPr>
            <w:r>
              <w:rPr/>
              <w:t>Chiffre d’affaires de l’entreprise</w:t>
            </w:r>
          </w:p>
        </w:tc>
        <w:tc>
          <w:tcPr>
            <w:tcW w:w="8133" w:type="dxa"/>
            <w:tcBorders>
              <w:left w:val="single" w:sz="2" w:space="0" w:color="000000"/>
              <w:bottom w:val="single" w:sz="2" w:space="0" w:color="000000"/>
              <w:right w:val="single" w:sz="2" w:space="0" w:color="000000"/>
            </w:tcBorders>
            <w:vAlign w:val="center"/>
          </w:tcPr>
          <w:p>
            <w:pPr>
              <w:pStyle w:val="Stylepardfaut2"/>
              <w:suppressAutoHyphens w:val="true"/>
              <w:spacing w:before="57" w:after="57"/>
              <w:rPr/>
            </w:pPr>
            <w:r>
              <w:rPr/>
            </w:r>
          </w:p>
        </w:tc>
      </w:tr>
      <w:tr>
        <w:trPr>
          <w:trHeight w:val="3514" w:hRule="atLeast"/>
        </w:trPr>
        <w:tc>
          <w:tcPr>
            <w:tcW w:w="8033" w:type="dxa"/>
            <w:tcBorders>
              <w:left w:val="single" w:sz="2" w:space="0" w:color="000000"/>
              <w:bottom w:val="single" w:sz="2" w:space="0" w:color="000000"/>
            </w:tcBorders>
            <w:vAlign w:val="center"/>
          </w:tcPr>
          <w:p>
            <w:pPr>
              <w:pStyle w:val="Stylepardfaut2"/>
              <w:suppressAutoHyphens w:val="true"/>
              <w:spacing w:before="57" w:after="57"/>
              <w:rPr/>
            </w:pPr>
            <w:r>
              <w:rPr/>
              <w:t>Qualifications, certifications professionnelles et labellisation de la société.</w:t>
            </w:r>
          </w:p>
        </w:tc>
        <w:tc>
          <w:tcPr>
            <w:tcW w:w="8133" w:type="dxa"/>
            <w:tcBorders>
              <w:left w:val="single" w:sz="2" w:space="0" w:color="000000"/>
              <w:bottom w:val="single" w:sz="2" w:space="0" w:color="000000"/>
              <w:right w:val="single" w:sz="2" w:space="0" w:color="000000"/>
            </w:tcBorders>
            <w:vAlign w:val="center"/>
          </w:tcPr>
          <w:p>
            <w:pPr>
              <w:pStyle w:val="Stylepardfaut2"/>
              <w:suppressAutoHyphens w:val="true"/>
              <w:spacing w:before="57" w:after="57"/>
              <w:rPr/>
            </w:pPr>
            <w:r>
              <w:rPr/>
            </w:r>
          </w:p>
        </w:tc>
      </w:tr>
      <w:tr>
        <w:trPr>
          <w:trHeight w:val="3167" w:hRule="atLeast"/>
        </w:trPr>
        <w:tc>
          <w:tcPr>
            <w:tcW w:w="8033" w:type="dxa"/>
            <w:tcBorders>
              <w:left w:val="single" w:sz="2" w:space="0" w:color="000000"/>
              <w:bottom w:val="single" w:sz="2" w:space="0" w:color="000000"/>
            </w:tcBorders>
            <w:vAlign w:val="center"/>
          </w:tcPr>
          <w:p>
            <w:pPr>
              <w:pStyle w:val="Stylepardfaut2"/>
              <w:suppressAutoHyphens w:val="true"/>
              <w:spacing w:before="57" w:after="57"/>
              <w:rPr/>
            </w:pPr>
            <w:r>
              <w:rPr/>
              <w:t>Expériences similaires</w:t>
            </w:r>
          </w:p>
        </w:tc>
        <w:tc>
          <w:tcPr>
            <w:tcW w:w="8133" w:type="dxa"/>
            <w:tcBorders>
              <w:left w:val="single" w:sz="2" w:space="0" w:color="000000"/>
              <w:bottom w:val="single" w:sz="2" w:space="0" w:color="000000"/>
              <w:right w:val="single" w:sz="2" w:space="0" w:color="000000"/>
            </w:tcBorders>
            <w:vAlign w:val="center"/>
          </w:tcPr>
          <w:p>
            <w:pPr>
              <w:pStyle w:val="Stylepardfaut2"/>
              <w:suppressAutoHyphens w:val="true"/>
              <w:spacing w:before="57" w:after="57"/>
              <w:rPr/>
            </w:pPr>
            <w:r>
              <w:rPr/>
            </w:r>
          </w:p>
        </w:tc>
      </w:tr>
    </w:tbl>
    <w:p>
      <w:pPr>
        <w:pStyle w:val="Normal"/>
        <w:rPr/>
      </w:pPr>
      <w:r>
        <w:rPr/>
      </w:r>
    </w:p>
    <w:p>
      <w:pPr>
        <w:pStyle w:val="Normal"/>
        <w:rPr/>
      </w:pPr>
      <w:r>
        <w:rPr/>
      </w:r>
      <w:r>
        <w:br w:type="page"/>
      </w:r>
    </w:p>
    <w:p>
      <w:pPr>
        <w:pStyle w:val="Normal1"/>
        <w:spacing w:before="0" w:after="0"/>
        <w:rPr/>
      </w:pPr>
      <w:r>
        <w:rPr/>
      </w:r>
    </w:p>
    <w:tbl>
      <w:tblPr>
        <w:tblW w:w="16150" w:type="dxa"/>
        <w:jc w:val="left"/>
        <w:tblInd w:w="122" w:type="dxa"/>
        <w:tblLayout w:type="fixed"/>
        <w:tblCellMar>
          <w:top w:w="55" w:type="dxa"/>
          <w:left w:w="55" w:type="dxa"/>
          <w:bottom w:w="55" w:type="dxa"/>
          <w:right w:w="55" w:type="dxa"/>
        </w:tblCellMar>
      </w:tblPr>
      <w:tblGrid>
        <w:gridCol w:w="16150"/>
      </w:tblGrid>
      <w:tr>
        <w:trPr>
          <w:trHeight w:val="1423" w:hRule="atLeast"/>
        </w:trPr>
        <w:tc>
          <w:tcPr>
            <w:tcW w:w="16150" w:type="dxa"/>
            <w:tcBorders>
              <w:top w:val="single" w:sz="2" w:space="0" w:color="000000"/>
              <w:left w:val="single" w:sz="2" w:space="0" w:color="000000"/>
              <w:bottom w:val="single" w:sz="2" w:space="0" w:color="000000"/>
              <w:right w:val="single" w:sz="2" w:space="0" w:color="000000"/>
            </w:tcBorders>
            <w:shd w:fill="CCCCCC" w:val="clear"/>
            <w:vAlign w:val="center"/>
          </w:tcPr>
          <w:p>
            <w:pPr>
              <w:pStyle w:val="Stylepardfaut2"/>
              <w:suppressAutoHyphens w:val="true"/>
              <w:spacing w:before="57" w:after="57"/>
              <w:rPr/>
            </w:pPr>
            <w:r>
              <w:rPr>
                <w:rStyle w:val="Policepardfaut"/>
                <w:u w:val="single"/>
              </w:rPr>
              <w:t>CRITÈRE N°1 </w:t>
            </w:r>
            <w:r>
              <w:rPr/>
              <w:t>: PRIX (40 points)</w:t>
            </w:r>
          </w:p>
          <w:p>
            <w:pPr>
              <w:pStyle w:val="Stylepardfaut2"/>
              <w:suppressAutoHyphens w:val="true"/>
              <w:spacing w:before="57" w:after="57"/>
              <w:rPr/>
            </w:pPr>
            <w:r>
              <w:rPr/>
              <w:t>Se reporter à la DPGF</w:t>
            </w:r>
          </w:p>
        </w:tc>
      </w:tr>
      <w:tr>
        <w:trPr>
          <w:trHeight w:val="1644" w:hRule="atLeast"/>
        </w:trPr>
        <w:tc>
          <w:tcPr>
            <w:tcW w:w="16150" w:type="dxa"/>
            <w:tcBorders>
              <w:left w:val="single" w:sz="2" w:space="0" w:color="000000"/>
              <w:bottom w:val="single" w:sz="2" w:space="0" w:color="000000"/>
              <w:right w:val="single" w:sz="2" w:space="0" w:color="000000"/>
            </w:tcBorders>
            <w:vAlign w:val="center"/>
          </w:tcPr>
          <w:p>
            <w:pPr>
              <w:pStyle w:val="Textbody"/>
              <w:jc w:val="left"/>
              <w:rPr>
                <w:b/>
                <w:bCs/>
                <w:szCs w:val="20"/>
                <w:u w:val="single"/>
              </w:rPr>
            </w:pPr>
            <w:r>
              <w:rPr>
                <w:b/>
                <w:bCs/>
                <w:szCs w:val="20"/>
                <w:u w:val="single"/>
              </w:rPr>
            </w:r>
          </w:p>
          <w:p>
            <w:pPr>
              <w:pStyle w:val="Textbody"/>
              <w:jc w:val="left"/>
              <w:rPr>
                <w:b/>
                <w:bCs/>
                <w:szCs w:val="20"/>
                <w:u w:val="single"/>
              </w:rPr>
            </w:pPr>
            <w:r>
              <w:rPr>
                <w:b/>
                <w:bCs/>
                <w:szCs w:val="20"/>
                <w:u w:val="single"/>
              </w:rPr>
              <w:t>MONTANT GLOBAL FORFAITAIRE :</w:t>
            </w:r>
          </w:p>
          <w:p>
            <w:pPr>
              <w:pStyle w:val="Textbody"/>
              <w:jc w:val="left"/>
              <w:rPr>
                <w:b/>
                <w:bCs/>
                <w:szCs w:val="20"/>
                <w:u w:val="single"/>
              </w:rPr>
            </w:pPr>
            <w:r>
              <w:rPr>
                <w:b/>
                <w:bCs/>
                <w:szCs w:val="20"/>
                <w:u w:val="single"/>
              </w:rPr>
            </w:r>
          </w:p>
          <w:p>
            <w:pPr>
              <w:pStyle w:val="Textbody"/>
              <w:jc w:val="left"/>
              <w:rPr>
                <w:b/>
                <w:bCs/>
                <w:szCs w:val="20"/>
                <w:u w:val="single"/>
              </w:rPr>
            </w:pPr>
            <w:r>
              <w:rPr>
                <w:b/>
                <w:bCs/>
                <w:szCs w:val="20"/>
                <w:u w:val="single"/>
              </w:rPr>
            </w:r>
          </w:p>
          <w:p>
            <w:pPr>
              <w:pStyle w:val="Textbody"/>
              <w:jc w:val="left"/>
              <w:rPr/>
            </w:pPr>
            <w:r>
              <w:rPr>
                <w:rStyle w:val="Policepardfaut"/>
                <w:b/>
                <w:bCs/>
                <w:szCs w:val="20"/>
                <w:shd w:fill="auto" w:val="clear"/>
              </w:rPr>
              <w:t>Fournir la DPGF dûment remplie</w:t>
            </w:r>
          </w:p>
          <w:p>
            <w:pPr>
              <w:pStyle w:val="Textbody"/>
              <w:jc w:val="left"/>
              <w:rPr>
                <w:b/>
                <w:bCs/>
                <w:szCs w:val="20"/>
                <w:u w:val="single"/>
              </w:rPr>
            </w:pPr>
            <w:r>
              <w:rPr>
                <w:b/>
                <w:bCs/>
                <w:szCs w:val="20"/>
                <w:u w:val="single"/>
              </w:rPr>
            </w:r>
          </w:p>
          <w:p>
            <w:pPr>
              <w:pStyle w:val="Textbody"/>
              <w:jc w:val="left"/>
              <w:rPr>
                <w:b/>
                <w:bCs/>
                <w:szCs w:val="20"/>
                <w:u w:val="single"/>
              </w:rPr>
            </w:pPr>
            <w:r>
              <w:rPr>
                <w:b/>
                <w:bCs/>
                <w:szCs w:val="20"/>
                <w:u w:val="single"/>
              </w:rPr>
            </w:r>
          </w:p>
          <w:p>
            <w:pPr>
              <w:pStyle w:val="Textbody"/>
              <w:jc w:val="left"/>
              <w:rPr>
                <w:b/>
                <w:bCs/>
                <w:szCs w:val="20"/>
                <w:u w:val="single"/>
              </w:rPr>
            </w:pPr>
            <w:r>
              <w:rPr>
                <w:b/>
                <w:bCs/>
                <w:szCs w:val="20"/>
                <w:u w:val="single"/>
              </w:rPr>
            </w:r>
          </w:p>
          <w:p>
            <w:pPr>
              <w:pStyle w:val="Textbody"/>
              <w:spacing w:before="0" w:after="140"/>
              <w:jc w:val="left"/>
              <w:rPr>
                <w:b/>
                <w:bCs/>
                <w:szCs w:val="20"/>
                <w:u w:val="single"/>
              </w:rPr>
            </w:pPr>
            <w:r>
              <w:rPr>
                <w:b/>
                <w:bCs/>
                <w:szCs w:val="20"/>
                <w:u w:val="single"/>
              </w:rPr>
            </w:r>
          </w:p>
        </w:tc>
      </w:tr>
    </w:tbl>
    <w:p>
      <w:pPr>
        <w:pStyle w:val="Standard"/>
        <w:rPr>
          <w:rFonts w:ascii="Arial" w:hAnsi="Arial"/>
          <w:b/>
          <w:bCs/>
          <w:szCs w:val="20"/>
        </w:rPr>
      </w:pPr>
      <w:r>
        <w:rPr>
          <w:rFonts w:ascii="Arial" w:hAnsi="Arial"/>
          <w:b/>
          <w:bCs/>
          <w:szCs w:val="20"/>
        </w:rPr>
      </w:r>
    </w:p>
    <w:p>
      <w:pPr>
        <w:pStyle w:val="Standard"/>
        <w:rPr>
          <w:rFonts w:ascii="Arial" w:hAnsi="Arial"/>
          <w:b/>
          <w:bCs/>
          <w:szCs w:val="20"/>
        </w:rPr>
      </w:pPr>
      <w:r>
        <w:rPr>
          <w:rFonts w:ascii="Arial" w:hAnsi="Arial"/>
          <w:b/>
          <w:bCs/>
          <w:szCs w:val="20"/>
        </w:rPr>
      </w:r>
    </w:p>
    <w:p>
      <w:pPr>
        <w:pStyle w:val="Normal"/>
        <w:rPr>
          <w:rFonts w:ascii="Marianne" w:hAnsi="Marianne" w:eastAsia="Marianne" w:cs="Marianne"/>
          <w:sz w:val="20"/>
        </w:rPr>
      </w:pPr>
      <w:r>
        <w:rPr>
          <w:rFonts w:eastAsia="Marianne" w:cs="Marianne" w:ascii="Marianne" w:hAnsi="Marianne"/>
          <w:sz w:val="20"/>
        </w:rPr>
      </w:r>
      <w:r>
        <w:br w:type="page"/>
      </w:r>
    </w:p>
    <w:p>
      <w:pPr>
        <w:pStyle w:val="Normal1"/>
        <w:spacing w:before="0" w:after="0"/>
        <w:rPr/>
      </w:pPr>
      <w:r>
        <w:rPr/>
      </w:r>
    </w:p>
    <w:tbl>
      <w:tblPr>
        <w:tblW w:w="16171" w:type="dxa"/>
        <w:jc w:val="left"/>
        <w:tblInd w:w="89" w:type="dxa"/>
        <w:tblLayout w:type="fixed"/>
        <w:tblCellMar>
          <w:top w:w="55" w:type="dxa"/>
          <w:left w:w="55" w:type="dxa"/>
          <w:bottom w:w="55" w:type="dxa"/>
          <w:right w:w="55" w:type="dxa"/>
        </w:tblCellMar>
      </w:tblPr>
      <w:tblGrid>
        <w:gridCol w:w="8033"/>
        <w:gridCol w:w="34"/>
        <w:gridCol w:w="8103"/>
      </w:tblGrid>
      <w:tr>
        <w:trPr>
          <w:trHeight w:val="1423" w:hRule="atLeast"/>
        </w:trPr>
        <w:tc>
          <w:tcPr>
            <w:tcW w:w="16170" w:type="dxa"/>
            <w:gridSpan w:val="3"/>
            <w:tcBorders>
              <w:top w:val="single" w:sz="2" w:space="0" w:color="000000"/>
              <w:left w:val="single" w:sz="2" w:space="0" w:color="000000"/>
              <w:bottom w:val="single" w:sz="2" w:space="0" w:color="000000"/>
              <w:right w:val="single" w:sz="2" w:space="0" w:color="000000"/>
            </w:tcBorders>
            <w:shd w:fill="CCCCCC" w:val="clear"/>
            <w:vAlign w:val="center"/>
          </w:tcPr>
          <w:p>
            <w:pPr>
              <w:pStyle w:val="Textbody"/>
              <w:jc w:val="left"/>
              <w:rPr/>
            </w:pPr>
            <w:r>
              <w:rPr>
                <w:rStyle w:val="Policepardfaut"/>
                <w:b/>
                <w:bCs/>
                <w:szCs w:val="20"/>
                <w:u w:val="single"/>
              </w:rPr>
              <w:t>CRITÈRE N° 2 </w:t>
            </w:r>
            <w:r>
              <w:rPr>
                <w:rStyle w:val="Policepardfaut"/>
                <w:b/>
                <w:bCs/>
                <w:szCs w:val="20"/>
              </w:rPr>
              <w:t xml:space="preserve">: </w:t>
            </w:r>
            <w:r>
              <w:rPr>
                <w:rStyle w:val="Policepardfaut"/>
                <w:b/>
                <w:bCs/>
                <w:szCs w:val="20"/>
                <w:shd w:fill="CCCCCC" w:val="clear"/>
              </w:rPr>
              <w:t>VALEUR TECHNIQUE (47 points)</w:t>
            </w:r>
          </w:p>
          <w:p>
            <w:pPr>
              <w:pStyle w:val="Standard"/>
              <w:rPr>
                <w:rFonts w:ascii="Arial" w:hAnsi="Arial" w:cs="Arial"/>
                <w:szCs w:val="20"/>
              </w:rPr>
            </w:pPr>
            <w:r>
              <w:rPr>
                <w:rFonts w:cs="Arial" w:ascii="Arial" w:hAnsi="Arial"/>
                <w:szCs w:val="20"/>
              </w:rPr>
            </w:r>
          </w:p>
          <w:p>
            <w:pPr>
              <w:pStyle w:val="Standard"/>
              <w:rPr/>
            </w:pPr>
            <w:r>
              <w:rPr/>
              <w:t>Dans ce document, les soumissionnaires devront répondre aux critères prédéfinis par l'acheteur.</w:t>
            </w:r>
          </w:p>
          <w:p>
            <w:pPr>
              <w:pStyle w:val="Standard"/>
              <w:rPr/>
            </w:pPr>
            <w:r>
              <w:rPr/>
            </w:r>
          </w:p>
          <w:p>
            <w:pPr>
              <w:pStyle w:val="Standard"/>
              <w:rPr/>
            </w:pPr>
            <w:r>
              <w:rPr/>
              <w:t>Chaque réponse fournie par un soumissionnaire lui apportera un certain nombre de points. Le soumissionnaire proposant le plus de réponses recevables obtiendra une note se rapprochant le plus de la note maximale (intégralité des « réponses recevables »).</w:t>
            </w:r>
          </w:p>
          <w:p>
            <w:pPr>
              <w:pStyle w:val="Standard"/>
              <w:rPr/>
            </w:pPr>
            <w:r>
              <w:rPr/>
            </w:r>
          </w:p>
          <w:p>
            <w:pPr>
              <w:pStyle w:val="Standard"/>
              <w:rPr/>
            </w:pPr>
            <w:r>
              <w:rPr/>
              <w:t>L’acheteur porte à l’attention des soumissionnaires que chaque réponse devra être le plus détaillée possible.</w:t>
            </w:r>
          </w:p>
          <w:p>
            <w:pPr>
              <w:pStyle w:val="Standard"/>
              <w:spacing w:before="57" w:after="57"/>
              <w:rPr>
                <w:rFonts w:cs="Arial"/>
                <w:b/>
                <w:bCs/>
                <w:szCs w:val="20"/>
                <w:shd w:fill="CCCCCC" w:val="clear"/>
              </w:rPr>
            </w:pPr>
            <w:r>
              <w:rPr>
                <w:rFonts w:cs="Arial"/>
                <w:b/>
                <w:bCs/>
                <w:szCs w:val="20"/>
                <w:shd w:fill="CCCCCC" w:val="clear"/>
              </w:rPr>
            </w:r>
          </w:p>
        </w:tc>
      </w:tr>
      <w:tr>
        <w:trPr/>
        <w:tc>
          <w:tcPr>
            <w:tcW w:w="8033" w:type="dxa"/>
            <w:tcBorders>
              <w:top w:val="single" w:sz="2" w:space="0" w:color="000000"/>
              <w:left w:val="single" w:sz="2" w:space="0" w:color="000000"/>
              <w:bottom w:val="single" w:sz="2" w:space="0" w:color="000000"/>
            </w:tcBorders>
            <w:vAlign w:val="center"/>
          </w:tcPr>
          <w:p>
            <w:pPr>
              <w:pStyle w:val="Standard"/>
              <w:spacing w:before="57" w:after="57"/>
              <w:rPr>
                <w:b/>
                <w:bCs/>
                <w:sz w:val="24"/>
              </w:rPr>
            </w:pPr>
            <w:r>
              <w:rPr>
                <w:b/>
                <w:bCs/>
                <w:sz w:val="24"/>
              </w:rPr>
              <w:t>(47 points)</w:t>
            </w:r>
          </w:p>
          <w:p>
            <w:pPr>
              <w:pStyle w:val="Standard"/>
              <w:rPr>
                <w:b/>
                <w:bCs/>
                <w:sz w:val="24"/>
              </w:rPr>
            </w:pPr>
            <w:r>
              <w:rPr>
                <w:b/>
                <w:bCs/>
                <w:sz w:val="24"/>
              </w:rPr>
            </w:r>
          </w:p>
          <w:p>
            <w:pPr>
              <w:pStyle w:val="Standard"/>
              <w:rPr>
                <w:b/>
                <w:bCs/>
                <w:sz w:val="24"/>
              </w:rPr>
            </w:pPr>
            <w:r>
              <w:rPr>
                <w:b/>
                <w:bCs/>
                <w:sz w:val="24"/>
              </w:rPr>
              <w:t>Moyens matériels et équipements proposés pour le chantier (11 points)</w:t>
            </w:r>
          </w:p>
          <w:p>
            <w:pPr>
              <w:pStyle w:val="Standard"/>
              <w:numPr>
                <w:ilvl w:val="0"/>
                <w:numId w:val="2"/>
              </w:numPr>
              <w:jc w:val="left"/>
              <w:rPr/>
            </w:pPr>
            <w:r>
              <w:rPr>
                <w:rStyle w:val="Policepardfaut"/>
                <w:rFonts w:cs="Arial" w:ascii="Arial" w:hAnsi="Arial"/>
                <w:szCs w:val="20"/>
              </w:rPr>
              <w:t>Description de l’ensemble du matériel que le candidat prévoit d’engager pour le chantier</w:t>
            </w:r>
          </w:p>
          <w:p>
            <w:pPr>
              <w:pStyle w:val="Standard"/>
              <w:tabs>
                <w:tab w:val="clear" w:pos="708"/>
              </w:tabs>
              <w:ind w:left="720"/>
              <w:rPr>
                <w:b/>
                <w:bCs/>
                <w:sz w:val="24"/>
              </w:rPr>
            </w:pPr>
            <w:r>
              <w:rPr>
                <w:b/>
                <w:bCs/>
                <w:sz w:val="24"/>
              </w:rPr>
            </w:r>
          </w:p>
          <w:p>
            <w:pPr>
              <w:pStyle w:val="Standard"/>
              <w:rPr>
                <w:b/>
                <w:bCs/>
                <w:sz w:val="24"/>
              </w:rPr>
            </w:pPr>
            <w:r>
              <w:rPr>
                <w:b/>
                <w:bCs/>
                <w:sz w:val="24"/>
              </w:rPr>
              <w:t>Moyens humains spécifiques proposés pour le chantier (11 points)</w:t>
            </w:r>
          </w:p>
          <w:p>
            <w:pPr>
              <w:pStyle w:val="Standard"/>
              <w:numPr>
                <w:ilvl w:val="0"/>
                <w:numId w:val="2"/>
              </w:numPr>
              <w:jc w:val="left"/>
              <w:rPr>
                <w:rFonts w:ascii="Arial" w:hAnsi="Arial" w:cs="Arial"/>
                <w:szCs w:val="20"/>
              </w:rPr>
            </w:pPr>
            <w:r>
              <w:rPr>
                <w:rFonts w:cs="Arial" w:ascii="Arial" w:hAnsi="Arial"/>
                <w:szCs w:val="20"/>
              </w:rPr>
              <w:t>Nombres de compagnons sur le chantier</w:t>
            </w:r>
          </w:p>
          <w:p>
            <w:pPr>
              <w:pStyle w:val="Standard"/>
              <w:numPr>
                <w:ilvl w:val="0"/>
                <w:numId w:val="2"/>
              </w:numPr>
              <w:jc w:val="left"/>
              <w:rPr>
                <w:rFonts w:ascii="Arial" w:hAnsi="Arial" w:cs="Arial"/>
                <w:szCs w:val="20"/>
              </w:rPr>
            </w:pPr>
            <w:r>
              <w:rPr>
                <w:rFonts w:cs="Arial" w:ascii="Arial" w:hAnsi="Arial"/>
                <w:szCs w:val="20"/>
              </w:rPr>
              <w:t>Personnel d’encadrement sur le chantier</w:t>
            </w:r>
          </w:p>
          <w:p>
            <w:pPr>
              <w:pStyle w:val="Standard"/>
              <w:numPr>
                <w:ilvl w:val="0"/>
                <w:numId w:val="2"/>
              </w:numPr>
              <w:jc w:val="left"/>
              <w:rPr>
                <w:rFonts w:ascii="Arial" w:hAnsi="Arial" w:cs="Arial"/>
                <w:szCs w:val="20"/>
              </w:rPr>
            </w:pPr>
            <w:r>
              <w:rPr>
                <w:rFonts w:cs="Arial" w:ascii="Arial" w:hAnsi="Arial"/>
                <w:szCs w:val="20"/>
              </w:rPr>
              <w:t>Responsable de la sécurité collective et individuelle</w:t>
            </w:r>
          </w:p>
          <w:p>
            <w:pPr>
              <w:pStyle w:val="Standard"/>
              <w:numPr>
                <w:ilvl w:val="0"/>
                <w:numId w:val="2"/>
              </w:numPr>
              <w:jc w:val="left"/>
              <w:rPr>
                <w:rFonts w:ascii="Arial" w:hAnsi="Arial" w:cs="Arial"/>
                <w:szCs w:val="20"/>
              </w:rPr>
            </w:pPr>
            <w:r>
              <w:rPr>
                <w:rFonts w:cs="Arial" w:ascii="Arial" w:hAnsi="Arial"/>
                <w:szCs w:val="20"/>
              </w:rPr>
              <w:t>Procédure mise en œuvre en cas d’absence non programmée d’un salarié</w:t>
            </w:r>
          </w:p>
          <w:p>
            <w:pPr>
              <w:pStyle w:val="Standard"/>
              <w:rPr>
                <w:b/>
                <w:bCs/>
                <w:sz w:val="24"/>
              </w:rPr>
            </w:pPr>
            <w:r>
              <w:rPr>
                <w:b/>
                <w:bCs/>
                <w:sz w:val="24"/>
              </w:rPr>
            </w:r>
          </w:p>
          <w:p>
            <w:pPr>
              <w:pStyle w:val="Standard"/>
              <w:rPr>
                <w:b/>
                <w:bCs/>
                <w:sz w:val="24"/>
              </w:rPr>
            </w:pPr>
            <w:r>
              <w:rPr>
                <w:b/>
                <w:bCs/>
                <w:sz w:val="24"/>
              </w:rPr>
              <w:t>Méthodologie des travaux (25 points)</w:t>
            </w:r>
          </w:p>
          <w:p>
            <w:pPr>
              <w:pStyle w:val="Standard"/>
              <w:numPr>
                <w:ilvl w:val="0"/>
                <w:numId w:val="3"/>
              </w:numPr>
              <w:jc w:val="left"/>
              <w:rPr>
                <w:rFonts w:ascii="Arial" w:hAnsi="Arial" w:cs="Arial"/>
                <w:szCs w:val="20"/>
              </w:rPr>
            </w:pPr>
            <w:r>
              <w:rPr>
                <w:rFonts w:cs="Arial" w:ascii="Arial" w:hAnsi="Arial"/>
                <w:szCs w:val="20"/>
              </w:rPr>
              <w:t>Mode opératoire de réalisation des travaux</w:t>
            </w:r>
          </w:p>
          <w:p>
            <w:pPr>
              <w:pStyle w:val="Standard1"/>
              <w:numPr>
                <w:ilvl w:val="0"/>
                <w:numId w:val="3"/>
              </w:numPr>
              <w:jc w:val="left"/>
              <w:rPr>
                <w:rFonts w:ascii="Arial" w:hAnsi="Arial" w:cs="Arial"/>
                <w:szCs w:val="20"/>
              </w:rPr>
            </w:pPr>
            <w:r>
              <w:rPr>
                <w:rFonts w:cs="Arial" w:ascii="Arial" w:hAnsi="Arial"/>
                <w:szCs w:val="20"/>
              </w:rPr>
              <w:t>Méthode de sécurisation lors des travaux de VRD ainsi que pour les caves</w:t>
            </w:r>
          </w:p>
          <w:p>
            <w:pPr>
              <w:pStyle w:val="Standard"/>
              <w:numPr>
                <w:ilvl w:val="0"/>
                <w:numId w:val="3"/>
              </w:numPr>
              <w:jc w:val="left"/>
              <w:rPr>
                <w:rFonts w:ascii="Arial" w:hAnsi="Arial" w:cs="Arial"/>
                <w:szCs w:val="20"/>
              </w:rPr>
            </w:pPr>
            <w:r>
              <w:rPr>
                <w:rFonts w:cs="Arial" w:ascii="Arial" w:hAnsi="Arial"/>
                <w:szCs w:val="20"/>
              </w:rPr>
              <w:t>Performance des équipements proposés</w:t>
            </w:r>
          </w:p>
          <w:p>
            <w:pPr>
              <w:pStyle w:val="Standard"/>
              <w:numPr>
                <w:ilvl w:val="0"/>
                <w:numId w:val="3"/>
              </w:numPr>
              <w:jc w:val="left"/>
              <w:rPr>
                <w:rFonts w:ascii="Arial" w:hAnsi="Arial" w:cs="Arial"/>
                <w:szCs w:val="20"/>
              </w:rPr>
            </w:pPr>
            <w:r>
              <w:rPr>
                <w:rFonts w:cs="Arial" w:ascii="Arial" w:hAnsi="Arial"/>
                <w:szCs w:val="20"/>
              </w:rPr>
              <w:t>Proposition d’un planning (ne pouvant excéder la durée du planning joint au dossier de consultation)</w:t>
            </w:r>
          </w:p>
          <w:p>
            <w:pPr>
              <w:pStyle w:val="Standard"/>
              <w:numPr>
                <w:ilvl w:val="0"/>
                <w:numId w:val="3"/>
              </w:numPr>
              <w:jc w:val="left"/>
              <w:rPr>
                <w:rFonts w:ascii="Arial" w:hAnsi="Arial" w:cs="Arial"/>
                <w:szCs w:val="20"/>
              </w:rPr>
            </w:pPr>
            <w:r>
              <w:rPr>
                <w:rFonts w:cs="Arial" w:ascii="Arial" w:hAnsi="Arial"/>
                <w:szCs w:val="20"/>
              </w:rPr>
              <w:t>Établissement d’un programme d'exécution des ouvrages, indiquant de façon sommaire la durée prévisionnelle des différentes phases du chantier</w:t>
            </w:r>
          </w:p>
          <w:p>
            <w:pPr>
              <w:pStyle w:val="Standard"/>
              <w:numPr>
                <w:ilvl w:val="0"/>
                <w:numId w:val="3"/>
              </w:numPr>
              <w:jc w:val="left"/>
              <w:rPr>
                <w:rFonts w:ascii="Arial" w:hAnsi="Arial" w:cs="Arial"/>
                <w:szCs w:val="20"/>
              </w:rPr>
            </w:pPr>
            <w:r>
              <w:rPr>
                <w:rFonts w:cs="Arial" w:ascii="Arial" w:hAnsi="Arial"/>
                <w:szCs w:val="20"/>
              </w:rPr>
              <w:t>Cohérence de l’offre technique (métrage et personnel adaptés au besoin réel, ...)</w:t>
            </w:r>
          </w:p>
          <w:p>
            <w:pPr>
              <w:pStyle w:val="Standard"/>
              <w:spacing w:before="57" w:after="57"/>
              <w:rPr>
                <w:b/>
                <w:bCs/>
                <w:szCs w:val="20"/>
              </w:rPr>
            </w:pPr>
            <w:r>
              <w:rPr>
                <w:b/>
                <w:bCs/>
                <w:szCs w:val="20"/>
              </w:rPr>
            </w:r>
          </w:p>
        </w:tc>
        <w:tc>
          <w:tcPr>
            <w:tcW w:w="8137" w:type="dxa"/>
            <w:gridSpan w:val="2"/>
            <w:tcBorders>
              <w:top w:val="single" w:sz="2" w:space="0" w:color="000000"/>
              <w:left w:val="single" w:sz="2" w:space="0" w:color="000000"/>
              <w:bottom w:val="single" w:sz="2" w:space="0" w:color="000000"/>
              <w:right w:val="single" w:sz="2" w:space="0" w:color="000000"/>
            </w:tcBorders>
            <w:vAlign w:val="center"/>
          </w:tcPr>
          <w:p>
            <w:pPr>
              <w:pStyle w:val="Textbody"/>
              <w:spacing w:before="0" w:after="140"/>
              <w:jc w:val="left"/>
              <w:rPr>
                <w:rFonts w:ascii="Arial" w:hAnsi="Arial"/>
                <w:b/>
                <w:bCs/>
                <w:szCs w:val="20"/>
                <w:u w:val="single"/>
              </w:rPr>
            </w:pPr>
            <w:r>
              <w:rPr>
                <w:rFonts w:ascii="Arial" w:hAnsi="Arial"/>
                <w:b/>
                <w:bCs/>
                <w:szCs w:val="20"/>
                <w:u w:val="single"/>
              </w:rPr>
            </w:r>
          </w:p>
        </w:tc>
      </w:tr>
      <w:tr>
        <w:trPr>
          <w:trHeight w:val="450" w:hRule="atLeast"/>
        </w:trPr>
        <w:tc>
          <w:tcPr>
            <w:tcW w:w="8033" w:type="dxa"/>
            <w:tcBorders>
              <w:top w:val="single" w:sz="2" w:space="0" w:color="000000"/>
              <w:left w:val="single" w:sz="2" w:space="0" w:color="000000"/>
              <w:bottom w:val="single" w:sz="2" w:space="0" w:color="000000"/>
            </w:tcBorders>
            <w:shd w:fill="CCCCCC" w:val="clear"/>
            <w:vAlign w:val="center"/>
          </w:tcPr>
          <w:p>
            <w:pPr>
              <w:pStyle w:val="Stylepardfaut2"/>
              <w:suppressAutoHyphens w:val="true"/>
              <w:spacing w:before="57" w:after="57"/>
              <w:rPr/>
            </w:pPr>
            <w:r>
              <w:rPr>
                <w:rStyle w:val="Policepardfaut"/>
                <w:u w:val="single"/>
              </w:rPr>
              <w:t>CRITÈRE N°3 </w:t>
            </w:r>
            <w:r>
              <w:rPr/>
              <w:t>: QUALITÉ (5 points)</w:t>
            </w:r>
          </w:p>
        </w:tc>
        <w:tc>
          <w:tcPr>
            <w:tcW w:w="8137" w:type="dxa"/>
            <w:gridSpan w:val="2"/>
            <w:tcBorders>
              <w:top w:val="single" w:sz="2" w:space="0" w:color="000000"/>
              <w:bottom w:val="single" w:sz="2" w:space="0" w:color="000000"/>
              <w:right w:val="single" w:sz="2" w:space="0" w:color="000000"/>
            </w:tcBorders>
            <w:shd w:fill="CCCCCC" w:val="clear"/>
            <w:vAlign w:val="center"/>
          </w:tcPr>
          <w:p>
            <w:pPr>
              <w:pStyle w:val="Textbody"/>
              <w:spacing w:before="0" w:after="140"/>
              <w:jc w:val="left"/>
              <w:rPr>
                <w:rFonts w:ascii="Arial" w:hAnsi="Arial"/>
                <w:b/>
                <w:bCs/>
                <w:szCs w:val="20"/>
                <w:u w:val="single"/>
              </w:rPr>
            </w:pPr>
            <w:r>
              <w:rPr>
                <w:rFonts w:ascii="Arial" w:hAnsi="Arial"/>
                <w:b/>
                <w:bCs/>
                <w:szCs w:val="20"/>
                <w:u w:val="single"/>
              </w:rPr>
            </w:r>
          </w:p>
        </w:tc>
      </w:tr>
      <w:tr>
        <w:trPr/>
        <w:tc>
          <w:tcPr>
            <w:tcW w:w="8033" w:type="dxa"/>
            <w:tcBorders>
              <w:left w:val="single" w:sz="2" w:space="0" w:color="000000"/>
              <w:bottom w:val="single" w:sz="2" w:space="0" w:color="000000"/>
            </w:tcBorders>
            <w:vAlign w:val="center"/>
          </w:tcPr>
          <w:p>
            <w:pPr>
              <w:pStyle w:val="Standard"/>
              <w:keepNext w:val="true"/>
              <w:spacing w:before="0" w:after="0"/>
              <w:jc w:val="left"/>
              <w:rPr>
                <w:b/>
                <w:bCs/>
                <w:sz w:val="24"/>
              </w:rPr>
            </w:pPr>
            <w:r>
              <w:rPr>
                <w:b/>
                <w:bCs/>
                <w:sz w:val="24"/>
              </w:rPr>
              <w:t>(5 points)</w:t>
            </w:r>
          </w:p>
          <w:p>
            <w:pPr>
              <w:pStyle w:val="Standard"/>
              <w:keepNext w:val="true"/>
              <w:spacing w:before="0" w:after="0"/>
              <w:jc w:val="left"/>
              <w:rPr>
                <w:b/>
                <w:bCs/>
                <w:sz w:val="24"/>
              </w:rPr>
            </w:pPr>
            <w:r>
              <w:rPr>
                <w:b/>
                <w:bCs/>
                <w:sz w:val="24"/>
              </w:rPr>
            </w:r>
          </w:p>
          <w:p>
            <w:pPr>
              <w:pStyle w:val="Standard"/>
              <w:keepNext w:val="true"/>
              <w:spacing w:before="0" w:after="0"/>
              <w:jc w:val="left"/>
              <w:rPr>
                <w:b/>
                <w:bCs/>
                <w:sz w:val="24"/>
              </w:rPr>
            </w:pPr>
            <w:r>
              <w:rPr>
                <w:b/>
                <w:bCs/>
                <w:sz w:val="24"/>
              </w:rPr>
              <w:t>La gestion de la qualité (5 points) :</w:t>
            </w:r>
          </w:p>
          <w:p>
            <w:pPr>
              <w:pStyle w:val="Standard"/>
              <w:numPr>
                <w:ilvl w:val="0"/>
                <w:numId w:val="4"/>
              </w:numPr>
              <w:rPr>
                <w:rFonts w:ascii="Arial" w:hAnsi="Arial" w:cs="Arial"/>
                <w:szCs w:val="20"/>
              </w:rPr>
            </w:pPr>
            <w:r>
              <w:rPr>
                <w:rFonts w:cs="Arial" w:ascii="Arial" w:hAnsi="Arial"/>
                <w:szCs w:val="20"/>
              </w:rPr>
              <w:t>Présentation des outils et procédures de suivi de la qualité des travaux réalisés sur site tout au long du chantier, ainsi que les mesures correctives prévues</w:t>
            </w:r>
          </w:p>
          <w:p>
            <w:pPr>
              <w:pStyle w:val="Standard"/>
              <w:numPr>
                <w:ilvl w:val="0"/>
                <w:numId w:val="4"/>
              </w:numPr>
              <w:rPr>
                <w:rFonts w:ascii="Arial" w:hAnsi="Arial" w:cs="Arial"/>
                <w:szCs w:val="20"/>
              </w:rPr>
            </w:pPr>
            <w:r>
              <w:rPr>
                <w:rFonts w:cs="Arial" w:ascii="Arial" w:hAnsi="Arial"/>
                <w:szCs w:val="20"/>
              </w:rPr>
              <w:t>Suivi des modifications en cours de chantier</w:t>
            </w:r>
          </w:p>
          <w:p>
            <w:pPr>
              <w:pStyle w:val="Standard"/>
              <w:numPr>
                <w:ilvl w:val="0"/>
                <w:numId w:val="4"/>
              </w:numPr>
              <w:rPr>
                <w:rFonts w:ascii="Arial" w:hAnsi="Arial" w:cs="Arial"/>
                <w:szCs w:val="20"/>
              </w:rPr>
            </w:pPr>
            <w:r>
              <w:rPr>
                <w:rFonts w:cs="Arial" w:ascii="Arial" w:hAnsi="Arial"/>
                <w:szCs w:val="20"/>
              </w:rPr>
              <w:t>Délai pour remise des plans de réservation, gestion des plans d’exécution</w:t>
            </w:r>
          </w:p>
          <w:p>
            <w:pPr>
              <w:pStyle w:val="Standard"/>
              <w:numPr>
                <w:ilvl w:val="0"/>
                <w:numId w:val="4"/>
              </w:numPr>
              <w:spacing w:before="0" w:after="0"/>
              <w:jc w:val="left"/>
              <w:rPr>
                <w:rFonts w:ascii="Arial" w:hAnsi="Arial" w:cs="Arial"/>
                <w:szCs w:val="20"/>
              </w:rPr>
            </w:pPr>
            <w:r>
              <w:rPr>
                <w:rFonts w:cs="Arial" w:ascii="Arial" w:hAnsi="Arial"/>
                <w:szCs w:val="20"/>
              </w:rPr>
              <w:t>Remise des documents en fin de chantier (essais AQC, DOE, fiches techniques, …)</w:t>
            </w:r>
          </w:p>
          <w:p>
            <w:pPr>
              <w:pStyle w:val="Standard"/>
              <w:spacing w:before="0" w:after="0"/>
              <w:jc w:val="left"/>
              <w:rPr>
                <w:sz w:val="24"/>
              </w:rPr>
            </w:pPr>
            <w:r>
              <w:rPr>
                <w:sz w:val="24"/>
              </w:rPr>
            </w:r>
          </w:p>
          <w:p>
            <w:pPr>
              <w:pStyle w:val="Standard"/>
              <w:spacing w:before="0" w:after="0"/>
              <w:jc w:val="left"/>
              <w:rPr>
                <w:sz w:val="24"/>
              </w:rPr>
            </w:pPr>
            <w:r>
              <w:rPr>
                <w:sz w:val="24"/>
              </w:rPr>
            </w:r>
          </w:p>
        </w:tc>
        <w:tc>
          <w:tcPr>
            <w:tcW w:w="8137" w:type="dxa"/>
            <w:gridSpan w:val="2"/>
            <w:tcBorders>
              <w:left w:val="single" w:sz="2" w:space="0" w:color="000000"/>
              <w:bottom w:val="single" w:sz="2" w:space="0" w:color="000000"/>
              <w:right w:val="single" w:sz="2" w:space="0" w:color="000000"/>
            </w:tcBorders>
            <w:vAlign w:val="center"/>
          </w:tcPr>
          <w:p>
            <w:pPr>
              <w:pStyle w:val="Textbody"/>
              <w:spacing w:before="0" w:after="140"/>
              <w:jc w:val="left"/>
              <w:rPr>
                <w:rFonts w:ascii="Arial" w:hAnsi="Arial"/>
                <w:b/>
                <w:bCs/>
                <w:szCs w:val="20"/>
                <w:u w:val="single"/>
              </w:rPr>
            </w:pPr>
            <w:r>
              <w:rPr>
                <w:rFonts w:ascii="Arial" w:hAnsi="Arial"/>
                <w:b/>
                <w:bCs/>
                <w:szCs w:val="20"/>
                <w:u w:val="single"/>
              </w:rPr>
            </w:r>
          </w:p>
        </w:tc>
      </w:tr>
      <w:tr>
        <w:trPr/>
        <w:tc>
          <w:tcPr>
            <w:tcW w:w="8033" w:type="dxa"/>
            <w:tcBorders>
              <w:top w:val="single" w:sz="2" w:space="0" w:color="000000"/>
              <w:left w:val="single" w:sz="2" w:space="0" w:color="000000"/>
              <w:bottom w:val="single" w:sz="2" w:space="0" w:color="000000"/>
            </w:tcBorders>
            <w:shd w:fill="CCCCCC" w:val="clear"/>
            <w:vAlign w:val="center"/>
          </w:tcPr>
          <w:p>
            <w:pPr>
              <w:pStyle w:val="Stylepardfaut2"/>
              <w:suppressAutoHyphens w:val="true"/>
              <w:spacing w:before="57" w:after="57"/>
              <w:rPr/>
            </w:pPr>
            <w:r>
              <w:rPr>
                <w:rStyle w:val="Policepardfaut"/>
                <w:u w:val="single"/>
              </w:rPr>
              <w:t>CRITÈRE N°4 </w:t>
            </w:r>
            <w:r>
              <w:rPr/>
              <w:t>: VALEUR ENVIRONNEMENTALE (3 points)</w:t>
            </w:r>
          </w:p>
        </w:tc>
        <w:tc>
          <w:tcPr>
            <w:tcW w:w="8137" w:type="dxa"/>
            <w:gridSpan w:val="2"/>
            <w:tcBorders>
              <w:top w:val="single" w:sz="2" w:space="0" w:color="000000"/>
              <w:bottom w:val="single" w:sz="2" w:space="0" w:color="000000"/>
              <w:right w:val="single" w:sz="2" w:space="0" w:color="000000"/>
            </w:tcBorders>
            <w:shd w:fill="CCCCCC" w:val="clear"/>
            <w:vAlign w:val="center"/>
          </w:tcPr>
          <w:p>
            <w:pPr>
              <w:pStyle w:val="Textbody"/>
              <w:spacing w:before="0" w:after="140"/>
              <w:jc w:val="left"/>
              <w:rPr>
                <w:rFonts w:ascii="Arial" w:hAnsi="Arial"/>
                <w:b/>
                <w:bCs/>
                <w:szCs w:val="20"/>
                <w:u w:val="single"/>
              </w:rPr>
            </w:pPr>
            <w:r>
              <w:rPr>
                <w:rFonts w:ascii="Arial" w:hAnsi="Arial"/>
                <w:b/>
                <w:bCs/>
                <w:szCs w:val="20"/>
                <w:u w:val="single"/>
              </w:rPr>
            </w:r>
          </w:p>
        </w:tc>
      </w:tr>
      <w:tr>
        <w:trPr/>
        <w:tc>
          <w:tcPr>
            <w:tcW w:w="8033" w:type="dxa"/>
            <w:tcBorders>
              <w:left w:val="single" w:sz="2" w:space="0" w:color="000000"/>
              <w:bottom w:val="single" w:sz="2" w:space="0" w:color="000000"/>
            </w:tcBorders>
            <w:vAlign w:val="center"/>
          </w:tcPr>
          <w:p>
            <w:pPr>
              <w:pStyle w:val="Standard"/>
              <w:spacing w:before="57" w:after="57"/>
              <w:jc w:val="left"/>
              <w:rPr>
                <w:rFonts w:ascii="Arial" w:hAnsi="Arial" w:cs="Arial"/>
                <w:color w:val="000000"/>
                <w:szCs w:val="20"/>
              </w:rPr>
            </w:pPr>
            <w:r>
              <w:rPr>
                <w:rFonts w:cs="Arial" w:ascii="Arial" w:hAnsi="Arial"/>
                <w:color w:val="000000"/>
                <w:szCs w:val="20"/>
              </w:rPr>
            </w:r>
          </w:p>
          <w:p>
            <w:pPr>
              <w:pStyle w:val="Standard"/>
              <w:jc w:val="left"/>
              <w:rPr>
                <w:b/>
                <w:bCs/>
                <w:sz w:val="24"/>
              </w:rPr>
            </w:pPr>
            <w:r>
              <w:rPr>
                <w:b/>
                <w:bCs/>
                <w:sz w:val="24"/>
              </w:rPr>
              <w:t>L’aspect environnemental (3 points) :</w:t>
            </w:r>
          </w:p>
          <w:p>
            <w:pPr>
              <w:pStyle w:val="Standard"/>
              <w:numPr>
                <w:ilvl w:val="0"/>
                <w:numId w:val="5"/>
              </w:numPr>
              <w:jc w:val="left"/>
              <w:rPr>
                <w:rFonts w:ascii="Arial" w:hAnsi="Arial" w:cs="Arial"/>
                <w:color w:val="000000"/>
                <w:szCs w:val="20"/>
              </w:rPr>
            </w:pPr>
            <w:r>
              <w:rPr>
                <w:rFonts w:cs="Arial" w:ascii="Arial" w:hAnsi="Arial"/>
                <w:color w:val="000000"/>
                <w:szCs w:val="20"/>
              </w:rPr>
              <w:t>Matériaux utilisés (nature, origine, réemploi, recyclage ...)</w:t>
            </w:r>
          </w:p>
          <w:p>
            <w:pPr>
              <w:pStyle w:val="Standard"/>
              <w:numPr>
                <w:ilvl w:val="0"/>
                <w:numId w:val="6"/>
              </w:numPr>
              <w:jc w:val="left"/>
              <w:rPr>
                <w:rFonts w:ascii="Arial" w:hAnsi="Arial" w:cs="Arial"/>
                <w:color w:val="000000"/>
                <w:szCs w:val="20"/>
              </w:rPr>
            </w:pPr>
            <w:r>
              <w:rPr>
                <w:rFonts w:cs="Arial" w:ascii="Arial" w:hAnsi="Arial"/>
                <w:color w:val="000000"/>
                <w:szCs w:val="20"/>
              </w:rPr>
              <w:t>Gestion des approvisionnements, privilégier le transport groupé, horaires adaptées à la circulation</w:t>
            </w:r>
          </w:p>
          <w:p>
            <w:pPr>
              <w:pStyle w:val="Standard"/>
              <w:numPr>
                <w:ilvl w:val="0"/>
                <w:numId w:val="6"/>
              </w:numPr>
              <w:jc w:val="left"/>
              <w:rPr>
                <w:rFonts w:ascii="Arial" w:hAnsi="Arial" w:cs="Arial"/>
                <w:color w:val="000000"/>
                <w:szCs w:val="20"/>
              </w:rPr>
            </w:pPr>
            <w:r>
              <w:rPr>
                <w:rFonts w:cs="Arial" w:ascii="Arial" w:hAnsi="Arial"/>
                <w:color w:val="000000"/>
                <w:szCs w:val="20"/>
              </w:rPr>
              <w:t>Gestion des déchets, les catégories de déchets générés, les quantités estimées, le type de traitement, réalisation d’un tri sélectif, la logistique, les filières de valorisation ou d’élimination</w:t>
            </w:r>
          </w:p>
          <w:p>
            <w:pPr>
              <w:pStyle w:val="Standard1"/>
              <w:numPr>
                <w:ilvl w:val="0"/>
                <w:numId w:val="6"/>
              </w:numPr>
              <w:spacing w:before="0" w:after="0"/>
              <w:jc w:val="left"/>
              <w:rPr/>
            </w:pPr>
            <w:r>
              <w:rPr>
                <w:rFonts w:cs="Arial" w:ascii="Arial" w:hAnsi="Arial"/>
                <w:color w:val="000000"/>
                <w:szCs w:val="20"/>
              </w:rPr>
              <w:t>Empreinte environnementale</w:t>
            </w:r>
          </w:p>
          <w:p>
            <w:pPr>
              <w:pStyle w:val="Standard"/>
              <w:jc w:val="left"/>
              <w:rPr/>
            </w:pPr>
            <w:r>
              <w:rPr/>
            </w:r>
          </w:p>
          <w:p>
            <w:pPr>
              <w:pStyle w:val="Standard"/>
              <w:spacing w:before="57" w:after="57"/>
              <w:jc w:val="left"/>
              <w:rPr/>
            </w:pPr>
            <w:r>
              <w:rPr/>
            </w:r>
          </w:p>
        </w:tc>
        <w:tc>
          <w:tcPr>
            <w:tcW w:w="8137" w:type="dxa"/>
            <w:gridSpan w:val="2"/>
            <w:tcBorders>
              <w:left w:val="single" w:sz="2" w:space="0" w:color="000000"/>
              <w:bottom w:val="single" w:sz="2" w:space="0" w:color="000000"/>
              <w:right w:val="single" w:sz="2" w:space="0" w:color="000000"/>
            </w:tcBorders>
            <w:vAlign w:val="center"/>
          </w:tcPr>
          <w:p>
            <w:pPr>
              <w:pStyle w:val="Textbody"/>
              <w:spacing w:before="0" w:after="140"/>
              <w:jc w:val="left"/>
              <w:rPr>
                <w:rFonts w:ascii="Arial" w:hAnsi="Arial"/>
                <w:b/>
                <w:bCs/>
                <w:szCs w:val="20"/>
                <w:u w:val="single"/>
              </w:rPr>
            </w:pPr>
            <w:r>
              <w:rPr>
                <w:rFonts w:ascii="Arial" w:hAnsi="Arial"/>
                <w:b/>
                <w:bCs/>
                <w:szCs w:val="20"/>
                <w:u w:val="single"/>
              </w:rPr>
            </w:r>
          </w:p>
        </w:tc>
      </w:tr>
      <w:tr>
        <w:trPr/>
        <w:tc>
          <w:tcPr>
            <w:tcW w:w="16170" w:type="dxa"/>
            <w:gridSpan w:val="3"/>
            <w:tcBorders>
              <w:top w:val="single" w:sz="2" w:space="0" w:color="000000"/>
              <w:left w:val="single" w:sz="2" w:space="0" w:color="000000"/>
              <w:bottom w:val="single" w:sz="2" w:space="0" w:color="000000"/>
              <w:right w:val="single" w:sz="2" w:space="0" w:color="000000"/>
            </w:tcBorders>
            <w:shd w:fill="CCCCCC" w:val="clear"/>
            <w:vAlign w:val="center"/>
          </w:tcPr>
          <w:p>
            <w:pPr>
              <w:pStyle w:val="Stylepardfaut2"/>
              <w:spacing w:before="0" w:after="0"/>
              <w:jc w:val="left"/>
              <w:rPr/>
            </w:pPr>
            <w:r>
              <w:rPr>
                <w:rStyle w:val="Policepardfaut"/>
                <w:bCs/>
                <w:u w:val="single"/>
              </w:rPr>
              <w:t>CRITÈRE N°5 </w:t>
            </w:r>
            <w:r>
              <w:rPr>
                <w:rStyle w:val="Policepardfaut"/>
                <w:bCs/>
              </w:rPr>
              <w:t>: VALEUR SOCIALE (3 points)</w:t>
            </w:r>
          </w:p>
        </w:tc>
      </w:tr>
      <w:tr>
        <w:trPr/>
        <w:tc>
          <w:tcPr>
            <w:tcW w:w="8067" w:type="dxa"/>
            <w:gridSpan w:val="2"/>
            <w:tcBorders>
              <w:left w:val="single" w:sz="2" w:space="0" w:color="000000"/>
              <w:bottom w:val="single" w:sz="2" w:space="0" w:color="000000"/>
            </w:tcBorders>
            <w:vAlign w:val="center"/>
          </w:tcPr>
          <w:p>
            <w:pPr>
              <w:pStyle w:val="Standard"/>
              <w:spacing w:before="0" w:after="0"/>
              <w:jc w:val="left"/>
              <w:rPr>
                <w:b/>
                <w:bCs/>
                <w:sz w:val="24"/>
              </w:rPr>
            </w:pPr>
            <w:r>
              <w:rPr>
                <w:b/>
                <w:bCs/>
                <w:sz w:val="24"/>
              </w:rPr>
            </w:r>
          </w:p>
          <w:p>
            <w:pPr>
              <w:pStyle w:val="Standard"/>
              <w:rPr/>
            </w:pPr>
            <w:r>
              <w:rPr>
                <w:rStyle w:val="Policepardfaut"/>
                <w:b/>
                <w:bCs/>
                <w:sz w:val="24"/>
              </w:rPr>
              <w:t>Respect des critères sociaux (3 points)</w:t>
            </w:r>
          </w:p>
          <w:p>
            <w:pPr>
              <w:pStyle w:val="Standard"/>
              <w:numPr>
                <w:ilvl w:val="0"/>
                <w:numId w:val="7"/>
              </w:numPr>
              <w:jc w:val="left"/>
              <w:rPr>
                <w:rFonts w:ascii="Arial" w:hAnsi="Arial" w:cs="Arial"/>
                <w:color w:val="000000"/>
                <w:szCs w:val="20"/>
              </w:rPr>
            </w:pPr>
            <w:r>
              <w:rPr>
                <w:rFonts w:cs="Arial" w:ascii="Arial" w:hAnsi="Arial"/>
                <w:color w:val="000000"/>
                <w:szCs w:val="20"/>
              </w:rPr>
              <w:t>Proposition du candidat en matière d’emploi de personnes éloignées de l’emploi et d’emploi de personnes en situation de handicap (dispositifs d’insertion) pour le lot 3</w:t>
            </w:r>
          </w:p>
          <w:p>
            <w:pPr>
              <w:pStyle w:val="Standard"/>
              <w:numPr>
                <w:ilvl w:val="0"/>
                <w:numId w:val="7"/>
              </w:numPr>
              <w:jc w:val="left"/>
              <w:rPr>
                <w:rFonts w:ascii="Arial" w:hAnsi="Arial" w:cs="Arial"/>
                <w:color w:val="000000"/>
                <w:szCs w:val="20"/>
              </w:rPr>
            </w:pPr>
            <w:r>
              <w:rPr>
                <w:rFonts w:cs="Arial" w:ascii="Arial" w:hAnsi="Arial"/>
                <w:color w:val="000000"/>
                <w:szCs w:val="20"/>
              </w:rPr>
              <w:t>Exemples de lutte contre les discriminations, notamment en matière d’égalité professionnelle entre les femmes et les hommes mis en place au sein de l’entreprise pour tous les lots</w:t>
            </w:r>
          </w:p>
          <w:p>
            <w:pPr>
              <w:pStyle w:val="Standard"/>
              <w:jc w:val="left"/>
              <w:rPr/>
            </w:pPr>
            <w:r>
              <w:rPr/>
            </w:r>
          </w:p>
          <w:p>
            <w:pPr>
              <w:pStyle w:val="Standard"/>
              <w:spacing w:before="57" w:after="57"/>
              <w:jc w:val="left"/>
              <w:rPr/>
            </w:pPr>
            <w:r>
              <w:rPr/>
            </w:r>
          </w:p>
        </w:tc>
        <w:tc>
          <w:tcPr>
            <w:tcW w:w="8103" w:type="dxa"/>
            <w:tcBorders>
              <w:left w:val="single" w:sz="2" w:space="0" w:color="000000"/>
              <w:bottom w:val="single" w:sz="2" w:space="0" w:color="000000"/>
              <w:right w:val="single" w:sz="2" w:space="0" w:color="000000"/>
            </w:tcBorders>
            <w:vAlign w:val="center"/>
          </w:tcPr>
          <w:p>
            <w:pPr>
              <w:pStyle w:val="Textbody"/>
              <w:spacing w:before="0" w:after="140"/>
              <w:jc w:val="left"/>
              <w:rPr>
                <w:rFonts w:ascii="Arial" w:hAnsi="Arial"/>
                <w:b/>
                <w:bCs/>
                <w:szCs w:val="20"/>
                <w:u w:val="single"/>
              </w:rPr>
            </w:pPr>
            <w:r>
              <w:rPr>
                <w:rFonts w:ascii="Arial" w:hAnsi="Arial"/>
                <w:b/>
                <w:bCs/>
                <w:szCs w:val="20"/>
                <w:u w:val="single"/>
              </w:rPr>
            </w:r>
          </w:p>
        </w:tc>
      </w:tr>
      <w:tr>
        <w:trPr/>
        <w:tc>
          <w:tcPr>
            <w:tcW w:w="16170" w:type="dxa"/>
            <w:gridSpan w:val="3"/>
            <w:tcBorders>
              <w:top w:val="single" w:sz="2" w:space="0" w:color="000000"/>
              <w:left w:val="single" w:sz="2" w:space="0" w:color="000000"/>
              <w:bottom w:val="single" w:sz="2" w:space="0" w:color="000000"/>
              <w:right w:val="single" w:sz="2" w:space="0" w:color="000000"/>
            </w:tcBorders>
            <w:shd w:fill="CCCCCC" w:val="clear"/>
            <w:vAlign w:val="center"/>
          </w:tcPr>
          <w:p>
            <w:pPr>
              <w:pStyle w:val="Stylepardfaut2"/>
              <w:spacing w:before="0" w:after="0"/>
              <w:jc w:val="left"/>
              <w:rPr/>
            </w:pPr>
            <w:r>
              <w:rPr>
                <w:rStyle w:val="Policepardfaut"/>
                <w:bCs/>
                <w:u w:val="single"/>
              </w:rPr>
              <w:t>CRITÈRE N°6 </w:t>
            </w:r>
            <w:r>
              <w:rPr>
                <w:rStyle w:val="Policepardfaut"/>
                <w:bCs/>
              </w:rPr>
              <w:t>: FORMALISME (2 points)</w:t>
            </w:r>
          </w:p>
        </w:tc>
      </w:tr>
      <w:tr>
        <w:trPr/>
        <w:tc>
          <w:tcPr>
            <w:tcW w:w="8067" w:type="dxa"/>
            <w:gridSpan w:val="2"/>
            <w:tcBorders>
              <w:left w:val="single" w:sz="2" w:space="0" w:color="000000"/>
              <w:bottom w:val="single" w:sz="2" w:space="0" w:color="000000"/>
            </w:tcBorders>
            <w:vAlign w:val="center"/>
          </w:tcPr>
          <w:p>
            <w:pPr>
              <w:pStyle w:val="Standard"/>
              <w:spacing w:before="0" w:after="0"/>
              <w:jc w:val="left"/>
              <w:rPr>
                <w:b/>
                <w:bCs/>
                <w:sz w:val="24"/>
              </w:rPr>
            </w:pPr>
            <w:r>
              <w:rPr>
                <w:b/>
                <w:bCs/>
                <w:sz w:val="24"/>
              </w:rPr>
              <w:t>Respect du formalisme (2 points)</w:t>
            </w:r>
          </w:p>
          <w:p>
            <w:pPr>
              <w:pStyle w:val="Standard"/>
              <w:numPr>
                <w:ilvl w:val="0"/>
                <w:numId w:val="8"/>
              </w:numPr>
              <w:spacing w:before="0" w:after="0"/>
              <w:jc w:val="left"/>
              <w:rPr>
                <w:rFonts w:ascii="Arial" w:hAnsi="Arial" w:cs="Arial"/>
              </w:rPr>
            </w:pPr>
            <w:r>
              <w:rPr>
                <w:rFonts w:cs="Arial" w:ascii="Arial" w:hAnsi="Arial"/>
              </w:rPr>
              <w:t>Clarté, concision, précision des réponses dans ce cadre de réponse</w:t>
            </w:r>
          </w:p>
          <w:p>
            <w:pPr>
              <w:pStyle w:val="Standard"/>
              <w:numPr>
                <w:ilvl w:val="0"/>
                <w:numId w:val="8"/>
              </w:numPr>
              <w:spacing w:before="0" w:after="0"/>
              <w:jc w:val="left"/>
              <w:rPr>
                <w:rFonts w:ascii="Arial" w:hAnsi="Arial" w:cs="Arial"/>
              </w:rPr>
            </w:pPr>
            <w:r>
              <w:rPr>
                <w:rFonts w:cs="Arial" w:ascii="Arial" w:hAnsi="Arial"/>
              </w:rPr>
              <w:t>Respect des formules de calcul pré-formatées dans les DPGF</w:t>
            </w:r>
          </w:p>
        </w:tc>
        <w:tc>
          <w:tcPr>
            <w:tcW w:w="8103" w:type="dxa"/>
            <w:tcBorders>
              <w:left w:val="single" w:sz="2" w:space="0" w:color="000000"/>
              <w:bottom w:val="single" w:sz="2" w:space="0" w:color="000000"/>
              <w:right w:val="single" w:sz="2" w:space="0" w:color="000000"/>
            </w:tcBorders>
            <w:vAlign w:val="center"/>
          </w:tcPr>
          <w:p>
            <w:pPr>
              <w:pStyle w:val="Textbody"/>
              <w:spacing w:before="0" w:after="140"/>
              <w:jc w:val="left"/>
              <w:rPr>
                <w:rFonts w:ascii="Arial" w:hAnsi="Arial"/>
                <w:b/>
                <w:bCs/>
                <w:szCs w:val="20"/>
                <w:u w:val="single"/>
              </w:rPr>
            </w:pPr>
            <w:r>
              <w:rPr>
                <w:rFonts w:ascii="Arial" w:hAnsi="Arial"/>
                <w:b/>
                <w:bCs/>
                <w:szCs w:val="20"/>
                <w:u w:val="single"/>
              </w:rPr>
              <w:t>Ne rien compléter</w:t>
            </w:r>
          </w:p>
        </w:tc>
      </w:tr>
    </w:tbl>
    <w:p>
      <w:pPr>
        <w:pStyle w:val="Standard"/>
        <w:jc w:val="left"/>
        <w:rPr>
          <w:strike/>
        </w:rPr>
      </w:pPr>
      <w:r>
        <w:rPr>
          <w:strike/>
        </w:rPr>
      </w:r>
    </w:p>
    <w:p>
      <w:pPr>
        <w:pStyle w:val="Normal"/>
        <w:rPr/>
      </w:pPr>
      <w:r>
        <w:rPr/>
      </w:r>
    </w:p>
    <w:sectPr>
      <w:footerReference w:type="even" r:id="rId3"/>
      <w:footerReference w:type="default" r:id="rId4"/>
      <w:footerReference w:type="first" r:id="rId5"/>
      <w:type w:val="nextPage"/>
      <w:pgSz w:orient="landscape" w:w="16838" w:h="11906"/>
      <w:pgMar w:left="283" w:right="283" w:gutter="0" w:header="0" w:top="720" w:footer="567" w:bottom="1133"/>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swiss"/>
    <w:pitch w:val="variable"/>
  </w:font>
  <w:font w:name="Aptos Display">
    <w:charset w:val="01"/>
    <w:family w:val="swiss"/>
    <w:pitch w:val="variable"/>
  </w:font>
  <w:font w:name="Marianne">
    <w:charset w:val="01"/>
    <w:family w:val="auto"/>
    <w:pitch w:val="variable"/>
  </w:font>
  <w:font w:name="Times New Roman">
    <w:charset w:val="01"/>
    <w:family w:val="roman"/>
    <w:pitch w:val="variable"/>
  </w:font>
  <w:font w:name="Symbol">
    <w:charset w:val="01"/>
    <w:family w:val="roman"/>
    <w:pitch w:val="variable"/>
  </w:font>
  <w:font w:name="Courier New">
    <w:charset w:val="01"/>
    <w:family w:val="auto"/>
    <w:pitch w:val="variable"/>
  </w:font>
  <w:font w:name="Wingdings">
    <w:charset w:val="01"/>
    <w:family w:val="auto"/>
    <w:pitch w:val="variable"/>
  </w:font>
  <w:font w:name="OpenSymbol">
    <w:altName w:val="Arial Unicode MS"/>
    <w:charset w:val="01"/>
    <w:family w:val="auto"/>
    <w:pitch w:val="variable"/>
  </w:font>
  <w:font w:name="Liberation Sans">
    <w:altName w:val="Arial"/>
    <w:charset w:val="01"/>
    <w:family w:val="swiss"/>
    <w:pitch w:val="variable"/>
  </w:font>
  <w:font w:name="Arial">
    <w:charset w:val="01"/>
    <w:family w:val="swiss"/>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hd w:val="clear" w:fill="66CCFF"/>
      <w:suppressAutoHyphens w:val="true"/>
      <w:spacing w:before="57" w:after="57"/>
      <w:rPr/>
    </w:pPr>
    <w:r>
      <w:rPr>
        <w:rStyle w:val="PageNumber"/>
        <w:rFonts w:ascii="Marianne" w:hAnsi="Marianne"/>
        <w:b/>
        <w:bCs/>
        <w:szCs w:val="20"/>
      </w:rPr>
      <w:t>Cadre de réponse technique</w:t>
      <w:tab/>
    </w:r>
    <w:r>
      <w:rPr>
        <w:rStyle w:val="PageNumber"/>
        <w:rFonts w:ascii="Marianne" w:hAnsi="Marianne"/>
        <w:b/>
        <w:bCs/>
        <w:i/>
        <w:iCs/>
        <w:sz w:val="16"/>
        <w:szCs w:val="16"/>
      </w:rPr>
      <w:tab/>
    </w:r>
    <w:r>
      <w:rPr>
        <w:rStyle w:val="PageNumber"/>
        <w:rFonts w:ascii="Marianne" w:hAnsi="Marianne"/>
        <w:b/>
        <w:bCs/>
        <w:szCs w:val="20"/>
      </w:rPr>
      <w:t>2026-TRVX-1</w:t>
    </w:r>
    <w:r>
      <w:rPr>
        <w:rStyle w:val="PageNumber"/>
        <w:rFonts w:ascii="Marianne" w:hAnsi="Marianne"/>
        <w:b/>
        <w:bCs/>
        <w:i/>
        <w:iCs/>
        <w:sz w:val="16"/>
        <w:szCs w:val="16"/>
      </w:rPr>
      <w:tab/>
      <w:tab/>
      <w:tab/>
      <w:tab/>
      <w:tab/>
      <w:tab/>
      <w:tab/>
      <w:tab/>
      <w:tab/>
    </w:r>
    <w:r>
      <w:rPr>
        <w:rStyle w:val="PageNumber"/>
        <w:rFonts w:ascii="Marianne" w:hAnsi="Marianne"/>
        <w:b/>
        <w:bCs/>
        <w:szCs w:val="20"/>
      </w:rPr>
      <w:fldChar w:fldCharType="begin"/>
    </w:r>
    <w:r>
      <w:rPr>
        <w:rStyle w:val="PageNumber"/>
        <w:b/>
        <w:szCs w:val="20"/>
        <w:bCs/>
        <w:rFonts w:ascii="Marianne" w:hAnsi="Marianne"/>
      </w:rPr>
      <w:instrText xml:space="preserve"> PAGE </w:instrText>
    </w:r>
    <w:r>
      <w:rPr>
        <w:rStyle w:val="PageNumber"/>
        <w:b/>
        <w:szCs w:val="20"/>
        <w:bCs/>
        <w:rFonts w:ascii="Marianne" w:hAnsi="Marianne"/>
      </w:rPr>
      <w:fldChar w:fldCharType="separate"/>
    </w:r>
    <w:r>
      <w:rPr>
        <w:rStyle w:val="PageNumber"/>
        <w:b/>
        <w:szCs w:val="20"/>
        <w:bCs/>
        <w:rFonts w:ascii="Marianne" w:hAnsi="Marianne"/>
      </w:rPr>
      <w:t>6</w:t>
    </w:r>
    <w:r>
      <w:rPr>
        <w:rStyle w:val="PageNumber"/>
        <w:b/>
        <w:szCs w:val="20"/>
        <w:bCs/>
        <w:rFonts w:ascii="Marianne" w:hAnsi="Marianne"/>
      </w:rPr>
      <w:fldChar w:fldCharType="end"/>
    </w:r>
    <w:r>
      <w:rPr>
        <w:rStyle w:val="PageNumber"/>
        <w:rFonts w:ascii="Marianne" w:hAnsi="Marianne"/>
        <w:b/>
        <w:bCs/>
        <w:szCs w:val="20"/>
      </w:rPr>
      <w:t>/</w:t>
    </w:r>
    <w:r>
      <w:rPr>
        <w:rStyle w:val="PageNumber"/>
        <w:rFonts w:ascii="Marianne" w:hAnsi="Marianne"/>
        <w:b/>
        <w:bCs/>
        <w:szCs w:val="20"/>
      </w:rPr>
      <w:fldChar w:fldCharType="begin"/>
    </w:r>
    <w:r>
      <w:rPr>
        <w:rStyle w:val="PageNumber"/>
        <w:b/>
        <w:szCs w:val="20"/>
        <w:bCs/>
        <w:rFonts w:ascii="Marianne" w:hAnsi="Marianne"/>
      </w:rPr>
      <w:instrText xml:space="preserve"> NUMPAGES </w:instrText>
    </w:r>
    <w:r>
      <w:rPr>
        <w:rStyle w:val="PageNumber"/>
        <w:b/>
        <w:szCs w:val="20"/>
        <w:bCs/>
        <w:rFonts w:ascii="Marianne" w:hAnsi="Marianne"/>
      </w:rPr>
      <w:fldChar w:fldCharType="separate"/>
    </w:r>
    <w:r>
      <w:rPr>
        <w:rStyle w:val="PageNumber"/>
        <w:b/>
        <w:szCs w:val="20"/>
        <w:bCs/>
        <w:rFonts w:ascii="Marianne" w:hAnsi="Marianne"/>
      </w:rPr>
      <w:t>8</w:t>
    </w:r>
    <w:r>
      <w:rPr>
        <w:rStyle w:val="PageNumber"/>
        <w:b/>
        <w:szCs w:val="20"/>
        <w:bCs/>
        <w:rFonts w:ascii="Marianne" w:hAnsi="Marianne"/>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hd w:val="clear" w:fill="66CCFF"/>
      <w:suppressAutoHyphens w:val="true"/>
      <w:spacing w:before="57" w:after="57"/>
      <w:rPr/>
    </w:pPr>
    <w:r>
      <w:rPr>
        <w:rStyle w:val="PageNumber"/>
        <w:rFonts w:ascii="Marianne" w:hAnsi="Marianne"/>
        <w:b/>
        <w:bCs/>
        <w:szCs w:val="20"/>
      </w:rPr>
      <w:t>Cadre de réponse technique</w:t>
      <w:tab/>
    </w:r>
    <w:r>
      <w:rPr>
        <w:rStyle w:val="PageNumber"/>
        <w:rFonts w:ascii="Marianne" w:hAnsi="Marianne"/>
        <w:b/>
        <w:bCs/>
        <w:i/>
        <w:iCs/>
        <w:sz w:val="16"/>
        <w:szCs w:val="16"/>
      </w:rPr>
      <w:tab/>
    </w:r>
    <w:r>
      <w:rPr>
        <w:rStyle w:val="PageNumber"/>
        <w:rFonts w:ascii="Marianne" w:hAnsi="Marianne"/>
        <w:b/>
        <w:bCs/>
        <w:szCs w:val="20"/>
      </w:rPr>
      <w:t>2026-TRVX-1</w:t>
    </w:r>
    <w:r>
      <w:rPr>
        <w:rStyle w:val="PageNumber"/>
        <w:rFonts w:ascii="Marianne" w:hAnsi="Marianne"/>
        <w:b/>
        <w:bCs/>
        <w:i/>
        <w:iCs/>
        <w:sz w:val="16"/>
        <w:szCs w:val="16"/>
      </w:rPr>
      <w:tab/>
      <w:tab/>
      <w:tab/>
      <w:tab/>
      <w:tab/>
      <w:tab/>
      <w:tab/>
      <w:tab/>
      <w:tab/>
    </w:r>
    <w:r>
      <w:rPr>
        <w:rStyle w:val="PageNumber"/>
        <w:rFonts w:ascii="Marianne" w:hAnsi="Marianne"/>
        <w:b/>
        <w:bCs/>
        <w:szCs w:val="20"/>
      </w:rPr>
      <w:fldChar w:fldCharType="begin"/>
    </w:r>
    <w:r>
      <w:rPr>
        <w:rStyle w:val="PageNumber"/>
        <w:b/>
        <w:szCs w:val="20"/>
        <w:bCs/>
        <w:rFonts w:ascii="Marianne" w:hAnsi="Marianne"/>
      </w:rPr>
      <w:instrText xml:space="preserve"> PAGE </w:instrText>
    </w:r>
    <w:r>
      <w:rPr>
        <w:rStyle w:val="PageNumber"/>
        <w:b/>
        <w:szCs w:val="20"/>
        <w:bCs/>
        <w:rFonts w:ascii="Marianne" w:hAnsi="Marianne"/>
      </w:rPr>
      <w:fldChar w:fldCharType="separate"/>
    </w:r>
    <w:r>
      <w:rPr>
        <w:rStyle w:val="PageNumber"/>
        <w:b/>
        <w:szCs w:val="20"/>
        <w:bCs/>
        <w:rFonts w:ascii="Marianne" w:hAnsi="Marianne"/>
      </w:rPr>
      <w:t>6</w:t>
    </w:r>
    <w:r>
      <w:rPr>
        <w:rStyle w:val="PageNumber"/>
        <w:b/>
        <w:szCs w:val="20"/>
        <w:bCs/>
        <w:rFonts w:ascii="Marianne" w:hAnsi="Marianne"/>
      </w:rPr>
      <w:fldChar w:fldCharType="end"/>
    </w:r>
    <w:r>
      <w:rPr>
        <w:rStyle w:val="PageNumber"/>
        <w:rFonts w:ascii="Marianne" w:hAnsi="Marianne"/>
        <w:b/>
        <w:bCs/>
        <w:szCs w:val="20"/>
      </w:rPr>
      <w:t>/</w:t>
    </w:r>
    <w:r>
      <w:rPr>
        <w:rStyle w:val="PageNumber"/>
        <w:rFonts w:ascii="Marianne" w:hAnsi="Marianne"/>
        <w:b/>
        <w:bCs/>
        <w:szCs w:val="20"/>
      </w:rPr>
      <w:fldChar w:fldCharType="begin"/>
    </w:r>
    <w:r>
      <w:rPr>
        <w:rStyle w:val="PageNumber"/>
        <w:b/>
        <w:szCs w:val="20"/>
        <w:bCs/>
        <w:rFonts w:ascii="Marianne" w:hAnsi="Marianne"/>
      </w:rPr>
      <w:instrText xml:space="preserve"> NUMPAGES </w:instrText>
    </w:r>
    <w:r>
      <w:rPr>
        <w:rStyle w:val="PageNumber"/>
        <w:b/>
        <w:szCs w:val="20"/>
        <w:bCs/>
        <w:rFonts w:ascii="Marianne" w:hAnsi="Marianne"/>
      </w:rPr>
      <w:fldChar w:fldCharType="separate"/>
    </w:r>
    <w:r>
      <w:rPr>
        <w:rStyle w:val="PageNumber"/>
        <w:b/>
        <w:szCs w:val="20"/>
        <w:bCs/>
        <w:rFonts w:ascii="Marianne" w:hAnsi="Marianne"/>
      </w:rPr>
      <w:t>8</w:t>
    </w:r>
    <w:r>
      <w:rPr>
        <w:rStyle w:val="PageNumber"/>
        <w:b/>
        <w:szCs w:val="20"/>
        <w:bCs/>
        <w:rFonts w:ascii="Marianne" w:hAnsi="Marianne"/>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left"/>
      <w:pPr>
        <w:tabs>
          <w:tab w:val="num" w:pos="0"/>
        </w:tabs>
        <w:ind w:left="0" w:hanging="0"/>
      </w:pPr>
      <w:rPr/>
    </w:lvl>
    <w:lvl w:ilvl="1">
      <w:start w:val="1"/>
      <w:numFmt w:val="none"/>
      <w:suff w:val="nothing"/>
      <w:lvlText w:val="%2"/>
      <w:lvlJc w:val="left"/>
      <w:pPr>
        <w:tabs>
          <w:tab w:val="num" w:pos="0"/>
        </w:tabs>
        <w:ind w:left="0" w:hanging="0"/>
      </w:pPr>
      <w:rPr/>
    </w:lvl>
    <w:lvl w:ilvl="2">
      <w:start w:val="1"/>
      <w:numFmt w:val="none"/>
      <w:suff w:val="nothing"/>
      <w:lvlText w:val="%3"/>
      <w:lvlJc w:val="left"/>
      <w:pPr>
        <w:tabs>
          <w:tab w:val="num" w:pos="0"/>
        </w:tabs>
        <w:ind w:left="0" w:hanging="0"/>
      </w:pPr>
      <w:rPr/>
    </w:lvl>
    <w:lvl w:ilvl="3">
      <w:start w:val="1"/>
      <w:numFmt w:val="none"/>
      <w:suff w:val="nothing"/>
      <w:lvlText w:val="%4"/>
      <w:lvlJc w:val="left"/>
      <w:pPr>
        <w:tabs>
          <w:tab w:val="num" w:pos="0"/>
        </w:tabs>
        <w:ind w:left="0" w:hanging="0"/>
      </w:pPr>
      <w:rPr/>
    </w:lvl>
    <w:lvl w:ilvl="4">
      <w:start w:val="1"/>
      <w:numFmt w:val="none"/>
      <w:suff w:val="nothing"/>
      <w:lvlText w:val="%5"/>
      <w:lvlJc w:val="left"/>
      <w:pPr>
        <w:tabs>
          <w:tab w:val="num" w:pos="0"/>
        </w:tabs>
        <w:ind w:left="0" w:hanging="0"/>
      </w:pPr>
      <w:rPr/>
    </w:lvl>
    <w:lvl w:ilvl="5">
      <w:start w:val="1"/>
      <w:numFmt w:val="none"/>
      <w:suff w:val="nothing"/>
      <w:lvlText w:val="%6"/>
      <w:lvlJc w:val="left"/>
      <w:pPr>
        <w:tabs>
          <w:tab w:val="num" w:pos="0"/>
        </w:tabs>
        <w:ind w:left="0" w:hanging="0"/>
      </w:pPr>
      <w:rPr/>
    </w:lvl>
    <w:lvl w:ilvl="6">
      <w:start w:val="1"/>
      <w:numFmt w:val="none"/>
      <w:suff w:val="nothing"/>
      <w:lvlText w:val="%7"/>
      <w:lvlJc w:val="left"/>
      <w:pPr>
        <w:tabs>
          <w:tab w:val="num" w:pos="0"/>
        </w:tabs>
        <w:ind w:left="0" w:hanging="0"/>
      </w:pPr>
      <w:rPr/>
    </w:lvl>
    <w:lvl w:ilvl="7">
      <w:start w:val="1"/>
      <w:numFmt w:val="none"/>
      <w:suff w:val="nothing"/>
      <w:lvlText w:val="%8"/>
      <w:lvlJc w:val="left"/>
      <w:pPr>
        <w:tabs>
          <w:tab w:val="num" w:pos="0"/>
        </w:tabs>
        <w:ind w:left="0" w:hanging="0"/>
      </w:pPr>
      <w:rPr/>
    </w:lvl>
    <w:lvl w:ilvl="8">
      <w:start w:val="1"/>
      <w:numFmt w:val="none"/>
      <w:suff w:val="nothing"/>
      <w:lvlText w:val="%9"/>
      <w:lvlJc w:val="left"/>
      <w:pPr>
        <w:tabs>
          <w:tab w:val="num" w:pos="0"/>
        </w:tabs>
        <w:ind w:left="0" w:hanging="0"/>
      </w:pPr>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90"/>
  <w:defaultTabStop w:val="708"/>
  <w:autoHyphenation w:val="true"/>
  <w:hyphenationZone w:val="0"/>
  <w:compat>
    <w:compatSetting w:name="compatibilityMode" w:uri="http://schemas.microsoft.com/office/word" w:val="12"/>
    <w:compatSetting w:name="useWord2013TrackBottomHyphenation" w:uri="http://schemas.microsoft.com/office/word" w:val="1"/>
    <w:compatSetting w:name="allowHyphenationAtTrackBottom"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DejaVu Sans"/>
        <w:kern w:val="2"/>
        <w:sz w:val="24"/>
        <w:szCs w:val="24"/>
        <w:lang w:val="fr-FR" w:eastAsia="en-US" w:bidi="ar-SA"/>
      </w:rPr>
    </w:rPrDefault>
    <w:pPrDefault>
      <w:pPr>
        <w:suppressAutoHyphens w:val="true"/>
      </w:pPr>
    </w:pPrDefault>
  </w:docDefaults>
  <w:style w:type="paragraph" w:styleId="Normal">
    <w:name w:val="Normal"/>
    <w:qFormat/>
    <w:pPr>
      <w:keepNext w:val="false"/>
      <w:keepLines w:val="false"/>
      <w:pageBreakBefore w:val="false"/>
      <w:widowControl w:val="false"/>
      <w:shd w:val="clear" w:fill="auto"/>
      <w:suppressAutoHyphens w:val="true"/>
      <w:overflowPunct w:val="true"/>
      <w:bidi w:val="0"/>
      <w:snapToGrid w:val="true"/>
      <w:spacing w:lineRule="auto" w:line="240" w:before="0" w:after="0"/>
      <w:jc w:val="left"/>
    </w:pPr>
    <w:rPr>
      <w:rFonts w:ascii="Liberation Serif" w:hAnsi="Liberation Serif" w:eastAsia="SimSun" w:cs="Mangal"/>
      <w:b w:val="false"/>
      <w:bCs w:val="false"/>
      <w:i w:val="false"/>
      <w:iCs w:val="false"/>
      <w:caps w:val="false"/>
      <w:smallCaps w:val="false"/>
      <w:strike w:val="false"/>
      <w:dstrike w:val="false"/>
      <w:outline w:val="false"/>
      <w:emboss w:val="false"/>
      <w:imprint w:val="false"/>
      <w:color w:val="000000"/>
      <w:spacing w:val="0"/>
      <w:w w:val="100"/>
      <w:kern w:val="2"/>
      <w:position w:val="0"/>
      <w:sz w:val="24"/>
      <w:sz w:val="24"/>
      <w:szCs w:val="24"/>
      <w:u w:val="none"/>
      <w:shd w:fill="auto" w:val="clear"/>
      <w:vertAlign w:val="baseline"/>
      <w:em w:val="none"/>
      <w:lang w:val="fr-FR" w:eastAsia="zh-CN" w:bidi="hi-IN"/>
    </w:rPr>
  </w:style>
  <w:style w:type="paragraph" w:styleId="Heading1">
    <w:name w:val="heading 1"/>
    <w:basedOn w:val="Normal"/>
    <w:next w:val="Normal"/>
    <w:qFormat/>
    <w:pPr>
      <w:keepNext w:val="true"/>
      <w:keepLines/>
      <w:numPr>
        <w:ilvl w:val="0"/>
        <w:numId w:val="1"/>
      </w:numPr>
      <w:suppressAutoHyphens w:val="true"/>
      <w:spacing w:before="360" w:after="80"/>
      <w:outlineLvl w:val="0"/>
    </w:pPr>
    <w:rPr>
      <w:rFonts w:ascii="Aptos Display" w:hAnsi="Aptos Display" w:eastAsia="Aptos" w:cs="DejaVu Sans"/>
      <w:color w:val="0F4761"/>
      <w:sz w:val="40"/>
      <w:szCs w:val="40"/>
    </w:rPr>
  </w:style>
  <w:style w:type="paragraph" w:styleId="Heading2">
    <w:name w:val="heading 2"/>
    <w:basedOn w:val="Normal"/>
    <w:next w:val="Normal"/>
    <w:qFormat/>
    <w:pPr>
      <w:keepNext w:val="true"/>
      <w:keepLines/>
      <w:numPr>
        <w:ilvl w:val="1"/>
        <w:numId w:val="1"/>
      </w:numPr>
      <w:suppressAutoHyphens w:val="true"/>
      <w:spacing w:before="160" w:after="80"/>
      <w:outlineLvl w:val="1"/>
    </w:pPr>
    <w:rPr>
      <w:rFonts w:ascii="Aptos Display" w:hAnsi="Aptos Display" w:eastAsia="Aptos" w:cs="DejaVu Sans"/>
      <w:color w:val="0F4761"/>
      <w:sz w:val="32"/>
      <w:szCs w:val="32"/>
    </w:rPr>
  </w:style>
  <w:style w:type="paragraph" w:styleId="Heading3">
    <w:name w:val="heading 3"/>
    <w:basedOn w:val="Normal"/>
    <w:next w:val="Normal"/>
    <w:qFormat/>
    <w:pPr>
      <w:keepNext w:val="true"/>
      <w:keepLines/>
      <w:numPr>
        <w:ilvl w:val="2"/>
        <w:numId w:val="1"/>
      </w:numPr>
      <w:suppressAutoHyphens w:val="true"/>
      <w:spacing w:before="160" w:after="80"/>
      <w:outlineLvl w:val="2"/>
    </w:pPr>
    <w:rPr>
      <w:rFonts w:eastAsia="Aptos" w:cs="DejaVu Sans"/>
      <w:color w:val="0F4761"/>
      <w:sz w:val="28"/>
      <w:szCs w:val="28"/>
    </w:rPr>
  </w:style>
  <w:style w:type="paragraph" w:styleId="Heading4">
    <w:name w:val="heading 4"/>
    <w:basedOn w:val="Normal"/>
    <w:next w:val="Normal"/>
    <w:qFormat/>
    <w:pPr>
      <w:keepNext w:val="true"/>
      <w:keepLines/>
      <w:numPr>
        <w:ilvl w:val="3"/>
        <w:numId w:val="1"/>
      </w:numPr>
      <w:suppressAutoHyphens w:val="true"/>
      <w:spacing w:before="80" w:after="40"/>
      <w:outlineLvl w:val="3"/>
    </w:pPr>
    <w:rPr>
      <w:rFonts w:eastAsia="Aptos" w:cs="DejaVu Sans"/>
      <w:i/>
      <w:iCs/>
      <w:color w:val="0F4761"/>
    </w:rPr>
  </w:style>
  <w:style w:type="paragraph" w:styleId="Heading5">
    <w:name w:val="heading 5"/>
    <w:basedOn w:val="Normal"/>
    <w:next w:val="Normal"/>
    <w:qFormat/>
    <w:pPr>
      <w:keepNext w:val="true"/>
      <w:keepLines/>
      <w:numPr>
        <w:ilvl w:val="4"/>
        <w:numId w:val="1"/>
      </w:numPr>
      <w:suppressAutoHyphens w:val="true"/>
      <w:spacing w:before="80" w:after="40"/>
      <w:outlineLvl w:val="4"/>
    </w:pPr>
    <w:rPr>
      <w:rFonts w:eastAsia="Aptos" w:cs="DejaVu Sans"/>
      <w:color w:val="0F4761"/>
    </w:rPr>
  </w:style>
  <w:style w:type="paragraph" w:styleId="Heading6">
    <w:name w:val="heading 6"/>
    <w:basedOn w:val="Normal"/>
    <w:next w:val="Normal"/>
    <w:qFormat/>
    <w:pPr>
      <w:keepNext w:val="true"/>
      <w:keepLines/>
      <w:numPr>
        <w:ilvl w:val="5"/>
        <w:numId w:val="1"/>
      </w:numPr>
      <w:suppressAutoHyphens w:val="true"/>
      <w:spacing w:before="40" w:after="0"/>
      <w:outlineLvl w:val="5"/>
    </w:pPr>
    <w:rPr>
      <w:rFonts w:eastAsia="Aptos" w:cs="DejaVu Sans"/>
      <w:i/>
      <w:iCs/>
      <w:color w:val="595959"/>
    </w:rPr>
  </w:style>
  <w:style w:type="paragraph" w:styleId="Heading7">
    <w:name w:val="heading 7"/>
    <w:basedOn w:val="Normal"/>
    <w:next w:val="Normal"/>
    <w:qFormat/>
    <w:pPr>
      <w:keepNext w:val="true"/>
      <w:keepLines/>
      <w:numPr>
        <w:ilvl w:val="6"/>
        <w:numId w:val="1"/>
      </w:numPr>
      <w:suppressAutoHyphens w:val="true"/>
      <w:spacing w:before="40" w:after="0"/>
      <w:outlineLvl w:val="6"/>
    </w:pPr>
    <w:rPr>
      <w:rFonts w:eastAsia="Aptos" w:cs="DejaVu Sans"/>
      <w:color w:val="595959"/>
    </w:rPr>
  </w:style>
  <w:style w:type="paragraph" w:styleId="Heading8">
    <w:name w:val="heading 8"/>
    <w:basedOn w:val="Normal"/>
    <w:next w:val="Normal"/>
    <w:qFormat/>
    <w:pPr>
      <w:keepNext w:val="true"/>
      <w:keepLines/>
      <w:numPr>
        <w:ilvl w:val="7"/>
        <w:numId w:val="1"/>
      </w:numPr>
      <w:suppressAutoHyphens w:val="true"/>
      <w:outlineLvl w:val="7"/>
    </w:pPr>
    <w:rPr>
      <w:rFonts w:eastAsia="Aptos" w:cs="DejaVu Sans"/>
      <w:i/>
      <w:iCs/>
      <w:color w:val="272727"/>
    </w:rPr>
  </w:style>
  <w:style w:type="paragraph" w:styleId="Heading9">
    <w:name w:val="heading 9"/>
    <w:basedOn w:val="Normal"/>
    <w:next w:val="Normal"/>
    <w:qFormat/>
    <w:pPr>
      <w:keepNext w:val="true"/>
      <w:keepLines/>
      <w:numPr>
        <w:ilvl w:val="8"/>
        <w:numId w:val="1"/>
      </w:numPr>
      <w:suppressAutoHyphens w:val="true"/>
      <w:outlineLvl w:val="8"/>
    </w:pPr>
    <w:rPr>
      <w:rFonts w:eastAsia="Aptos" w:cs="DejaVu Sans"/>
      <w:color w:val="272727"/>
    </w:rPr>
  </w:style>
  <w:style w:type="character" w:styleId="Policepardfaut">
    <w:name w:val="Police par défaut"/>
    <w:qFormat/>
    <w:rPr/>
  </w:style>
  <w:style w:type="character" w:styleId="Titre1Car">
    <w:name w:val="Titre 1 Car"/>
    <w:basedOn w:val="Policepardfaut"/>
    <w:qFormat/>
    <w:rPr>
      <w:rFonts w:ascii="Aptos Display" w:hAnsi="Aptos Display" w:eastAsia="Aptos" w:cs="DejaVu Sans"/>
      <w:color w:val="0F4761"/>
      <w:sz w:val="40"/>
      <w:szCs w:val="40"/>
    </w:rPr>
  </w:style>
  <w:style w:type="character" w:styleId="Titre2Car">
    <w:name w:val="Titre 2 Car"/>
    <w:basedOn w:val="Policepardfaut"/>
    <w:qFormat/>
    <w:rPr>
      <w:rFonts w:ascii="Aptos Display" w:hAnsi="Aptos Display" w:eastAsia="Aptos" w:cs="DejaVu Sans"/>
      <w:color w:val="0F4761"/>
      <w:sz w:val="32"/>
      <w:szCs w:val="32"/>
    </w:rPr>
  </w:style>
  <w:style w:type="character" w:styleId="Titre3Car">
    <w:name w:val="Titre 3 Car"/>
    <w:basedOn w:val="Policepardfaut"/>
    <w:qFormat/>
    <w:rPr>
      <w:rFonts w:eastAsia="Aptos" w:cs="DejaVu Sans"/>
      <w:color w:val="0F4761"/>
      <w:sz w:val="28"/>
      <w:szCs w:val="28"/>
    </w:rPr>
  </w:style>
  <w:style w:type="character" w:styleId="Titre4Car">
    <w:name w:val="Titre 4 Car"/>
    <w:basedOn w:val="Policepardfaut"/>
    <w:qFormat/>
    <w:rPr>
      <w:rFonts w:eastAsia="Aptos" w:cs="DejaVu Sans"/>
      <w:i/>
      <w:iCs/>
      <w:color w:val="0F4761"/>
    </w:rPr>
  </w:style>
  <w:style w:type="character" w:styleId="Titre5Car">
    <w:name w:val="Titre 5 Car"/>
    <w:basedOn w:val="Policepardfaut"/>
    <w:qFormat/>
    <w:rPr>
      <w:rFonts w:eastAsia="Aptos" w:cs="DejaVu Sans"/>
      <w:color w:val="0F4761"/>
    </w:rPr>
  </w:style>
  <w:style w:type="character" w:styleId="Titre6Car">
    <w:name w:val="Titre 6 Car"/>
    <w:basedOn w:val="Policepardfaut"/>
    <w:qFormat/>
    <w:rPr>
      <w:rFonts w:eastAsia="Aptos" w:cs="DejaVu Sans"/>
      <w:i/>
      <w:iCs/>
      <w:color w:val="595959"/>
    </w:rPr>
  </w:style>
  <w:style w:type="character" w:styleId="Titre7Car">
    <w:name w:val="Titre 7 Car"/>
    <w:basedOn w:val="Policepardfaut"/>
    <w:qFormat/>
    <w:rPr>
      <w:rFonts w:eastAsia="Aptos" w:cs="DejaVu Sans"/>
      <w:color w:val="595959"/>
    </w:rPr>
  </w:style>
  <w:style w:type="character" w:styleId="Titre8Car">
    <w:name w:val="Titre 8 Car"/>
    <w:basedOn w:val="Policepardfaut"/>
    <w:qFormat/>
    <w:rPr>
      <w:rFonts w:eastAsia="Aptos" w:cs="DejaVu Sans"/>
      <w:i/>
      <w:iCs/>
      <w:color w:val="272727"/>
    </w:rPr>
  </w:style>
  <w:style w:type="character" w:styleId="Titre9Car">
    <w:name w:val="Titre 9 Car"/>
    <w:basedOn w:val="Policepardfaut"/>
    <w:qFormat/>
    <w:rPr>
      <w:rFonts w:eastAsia="Aptos" w:cs="DejaVu Sans"/>
      <w:color w:val="272727"/>
    </w:rPr>
  </w:style>
  <w:style w:type="character" w:styleId="TitreCar">
    <w:name w:val="Titre Car"/>
    <w:basedOn w:val="Policepardfaut"/>
    <w:qFormat/>
    <w:rPr>
      <w:rFonts w:ascii="Aptos Display" w:hAnsi="Aptos Display" w:eastAsia="Aptos" w:cs="DejaVu Sans"/>
      <w:spacing w:val="-10"/>
      <w:kern w:val="2"/>
      <w:sz w:val="56"/>
      <w:szCs w:val="56"/>
    </w:rPr>
  </w:style>
  <w:style w:type="character" w:styleId="Sous-titreCar">
    <w:name w:val="Sous-titre Car"/>
    <w:basedOn w:val="Policepardfaut"/>
    <w:qFormat/>
    <w:rPr>
      <w:rFonts w:eastAsia="Aptos" w:cs="DejaVu Sans"/>
      <w:color w:val="595959"/>
      <w:spacing w:val="15"/>
      <w:sz w:val="28"/>
      <w:szCs w:val="28"/>
    </w:rPr>
  </w:style>
  <w:style w:type="character" w:styleId="CitationCar">
    <w:name w:val="Citation Car"/>
    <w:basedOn w:val="Policepardfaut"/>
    <w:qFormat/>
    <w:rPr>
      <w:i/>
      <w:iCs/>
      <w:color w:val="404040"/>
    </w:rPr>
  </w:style>
  <w:style w:type="character" w:styleId="Accentuationintense">
    <w:name w:val="Accentuation intense"/>
    <w:basedOn w:val="Policepardfaut"/>
    <w:qFormat/>
    <w:rPr>
      <w:i/>
      <w:iCs/>
      <w:color w:val="0F4761"/>
    </w:rPr>
  </w:style>
  <w:style w:type="character" w:styleId="CitationintenseCar">
    <w:name w:val="Citation intense Car"/>
    <w:basedOn w:val="Policepardfaut"/>
    <w:qFormat/>
    <w:rPr>
      <w:i/>
      <w:iCs/>
      <w:color w:val="0F4761"/>
    </w:rPr>
  </w:style>
  <w:style w:type="character" w:styleId="Rfrenceintense">
    <w:name w:val="Référence intense"/>
    <w:basedOn w:val="Policepardfaut"/>
    <w:qFormat/>
    <w:rPr>
      <w:b/>
      <w:bCs/>
      <w:smallCaps/>
      <w:color w:val="0F4761"/>
      <w:spacing w:val="5"/>
    </w:rPr>
  </w:style>
  <w:style w:type="character" w:styleId="PieddepageCar">
    <w:name w:val="Pied de page Car"/>
    <w:basedOn w:val="Policepardfaut"/>
    <w:qFormat/>
    <w:rPr>
      <w:rFonts w:ascii="Marianne" w:hAnsi="Marianne" w:eastAsia="Marianne" w:cs="Marianne"/>
      <w:b/>
      <w:kern w:val="2"/>
      <w:sz w:val="20"/>
      <w:shd w:fill="66CCFF" w:val="clear"/>
      <w:lang w:eastAsia="zh-CN" w:bidi="hi-IN"/>
    </w:rPr>
  </w:style>
  <w:style w:type="character" w:styleId="PageNumber">
    <w:name w:val="page number"/>
    <w:basedOn w:val="Policepardfaut"/>
    <w:rPr/>
  </w:style>
  <w:style w:type="character" w:styleId="En-tteCar">
    <w:name w:val="En-tête Car"/>
    <w:basedOn w:val="Policepardfaut"/>
    <w:qFormat/>
    <w:rPr>
      <w:rFonts w:ascii="Liberation Serif" w:hAnsi="Liberation Serif" w:eastAsia="SimSun" w:cs="Mangal"/>
      <w:kern w:val="2"/>
      <w:szCs w:val="21"/>
      <w:lang w:eastAsia="zh-CN" w:bidi="hi-IN"/>
    </w:rPr>
  </w:style>
  <w:style w:type="character" w:styleId="WWCharLFO1LVL1">
    <w:name w:val="WW_CharLFO1LVL1"/>
    <w:qFormat/>
    <w:rPr>
      <w:rFonts w:ascii="Times New Roman" w:hAnsi="Times New Roman" w:eastAsia="OpenSymbol" w:cs="OpenSymbol"/>
    </w:rPr>
  </w:style>
  <w:style w:type="character" w:styleId="WWCharLFO1LVL2">
    <w:name w:val="WW_CharLFO1LVL2"/>
    <w:qFormat/>
    <w:rPr>
      <w:rFonts w:ascii="Times New Roman" w:hAnsi="Times New Roman" w:eastAsia="OpenSymbol" w:cs="OpenSymbol"/>
    </w:rPr>
  </w:style>
  <w:style w:type="character" w:styleId="WWCharLFO1LVL3">
    <w:name w:val="WW_CharLFO1LVL3"/>
    <w:qFormat/>
    <w:rPr>
      <w:rFonts w:ascii="Times New Roman" w:hAnsi="Times New Roman" w:eastAsia="OpenSymbol" w:cs="OpenSymbol"/>
    </w:rPr>
  </w:style>
  <w:style w:type="character" w:styleId="WWCharLFO1LVL4">
    <w:name w:val="WW_CharLFO1LVL4"/>
    <w:qFormat/>
    <w:rPr>
      <w:rFonts w:ascii="Times New Roman" w:hAnsi="Times New Roman" w:eastAsia="OpenSymbol" w:cs="OpenSymbol"/>
    </w:rPr>
  </w:style>
  <w:style w:type="character" w:styleId="WWCharLFO1LVL5">
    <w:name w:val="WW_CharLFO1LVL5"/>
    <w:qFormat/>
    <w:rPr>
      <w:rFonts w:ascii="Times New Roman" w:hAnsi="Times New Roman" w:eastAsia="OpenSymbol" w:cs="OpenSymbol"/>
    </w:rPr>
  </w:style>
  <w:style w:type="character" w:styleId="WWCharLFO1LVL6">
    <w:name w:val="WW_CharLFO1LVL6"/>
    <w:qFormat/>
    <w:rPr>
      <w:rFonts w:ascii="Times New Roman" w:hAnsi="Times New Roman" w:eastAsia="OpenSymbol" w:cs="OpenSymbol"/>
    </w:rPr>
  </w:style>
  <w:style w:type="character" w:styleId="WWCharLFO1LVL7">
    <w:name w:val="WW_CharLFO1LVL7"/>
    <w:qFormat/>
    <w:rPr>
      <w:rFonts w:ascii="Times New Roman" w:hAnsi="Times New Roman" w:eastAsia="OpenSymbol" w:cs="OpenSymbol"/>
    </w:rPr>
  </w:style>
  <w:style w:type="character" w:styleId="WWCharLFO1LVL8">
    <w:name w:val="WW_CharLFO1LVL8"/>
    <w:qFormat/>
    <w:rPr>
      <w:rFonts w:ascii="Times New Roman" w:hAnsi="Times New Roman" w:eastAsia="OpenSymbol" w:cs="OpenSymbol"/>
    </w:rPr>
  </w:style>
  <w:style w:type="character" w:styleId="WWCharLFO1LVL9">
    <w:name w:val="WW_CharLFO1LVL9"/>
    <w:qFormat/>
    <w:rPr>
      <w:rFonts w:ascii="Times New Roman" w:hAnsi="Times New Roman" w:eastAsia="OpenSymbol" w:cs="OpenSymbol"/>
    </w:rPr>
  </w:style>
  <w:style w:type="character" w:styleId="WWCharLFO2LVL1">
    <w:name w:val="WW_CharLFO2LVL1"/>
    <w:qFormat/>
    <w:rPr>
      <w:rFonts w:ascii="Times New Roman" w:hAnsi="Times New Roman" w:eastAsia="Marianne" w:cs="Marianne"/>
    </w:rPr>
  </w:style>
  <w:style w:type="character" w:styleId="WWCharLFO2LVL2">
    <w:name w:val="WW_CharLFO2LVL2"/>
    <w:qFormat/>
    <w:rPr>
      <w:rFonts w:ascii="Times New Roman" w:hAnsi="Times New Roman" w:cs="Courier New"/>
    </w:rPr>
  </w:style>
  <w:style w:type="character" w:styleId="WWCharLFO2LVL5">
    <w:name w:val="WW_CharLFO2LVL5"/>
    <w:qFormat/>
    <w:rPr>
      <w:rFonts w:ascii="Times New Roman" w:hAnsi="Times New Roman" w:cs="Courier New"/>
    </w:rPr>
  </w:style>
  <w:style w:type="character" w:styleId="WWCharLFO2LVL8">
    <w:name w:val="WW_CharLFO2LVL8"/>
    <w:qFormat/>
    <w:rPr>
      <w:rFonts w:ascii="Times New Roman" w:hAnsi="Times New Roman" w:cs="Courier New"/>
    </w:rPr>
  </w:style>
  <w:style w:type="character" w:styleId="WWCharLFO3LVL1">
    <w:name w:val="WW_CharLFO3LVL1"/>
    <w:qFormat/>
    <w:rPr>
      <w:rFonts w:ascii="Symbol" w:hAnsi="Symbol"/>
    </w:rPr>
  </w:style>
  <w:style w:type="character" w:styleId="WWCharLFO3LVL2">
    <w:name w:val="WW_CharLFO3LVL2"/>
    <w:qFormat/>
    <w:rPr>
      <w:rFonts w:ascii="Courier New" w:hAnsi="Courier New" w:cs="Courier New"/>
    </w:rPr>
  </w:style>
  <w:style w:type="character" w:styleId="WWCharLFO3LVL3">
    <w:name w:val="WW_CharLFO3LVL3"/>
    <w:qFormat/>
    <w:rPr>
      <w:rFonts w:ascii="Wingdings" w:hAnsi="Wingdings"/>
    </w:rPr>
  </w:style>
  <w:style w:type="character" w:styleId="WWCharLFO3LVL4">
    <w:name w:val="WW_CharLFO3LVL4"/>
    <w:qFormat/>
    <w:rPr>
      <w:rFonts w:ascii="Symbol" w:hAnsi="Symbol"/>
    </w:rPr>
  </w:style>
  <w:style w:type="character" w:styleId="WWCharLFO3LVL5">
    <w:name w:val="WW_CharLFO3LVL5"/>
    <w:qFormat/>
    <w:rPr>
      <w:rFonts w:ascii="Courier New" w:hAnsi="Courier New" w:cs="Courier New"/>
    </w:rPr>
  </w:style>
  <w:style w:type="character" w:styleId="WWCharLFO3LVL6">
    <w:name w:val="WW_CharLFO3LVL6"/>
    <w:qFormat/>
    <w:rPr>
      <w:rFonts w:ascii="Wingdings" w:hAnsi="Wingdings"/>
    </w:rPr>
  </w:style>
  <w:style w:type="character" w:styleId="WWCharLFO3LVL7">
    <w:name w:val="WW_CharLFO3LVL7"/>
    <w:qFormat/>
    <w:rPr>
      <w:rFonts w:ascii="Symbol" w:hAnsi="Symbol"/>
    </w:rPr>
  </w:style>
  <w:style w:type="character" w:styleId="WWCharLFO3LVL8">
    <w:name w:val="WW_CharLFO3LVL8"/>
    <w:qFormat/>
    <w:rPr>
      <w:rFonts w:ascii="Courier New" w:hAnsi="Courier New" w:cs="Courier New"/>
    </w:rPr>
  </w:style>
  <w:style w:type="character" w:styleId="WWCharLFO3LVL9">
    <w:name w:val="WW_CharLFO3LVL9"/>
    <w:qFormat/>
    <w:rPr>
      <w:rFonts w:ascii="Wingdings" w:hAnsi="Wingdings"/>
    </w:rPr>
  </w:style>
  <w:style w:type="character" w:styleId="WWCharLFO4LVL1">
    <w:name w:val="WW_CharLFO4LVL1"/>
    <w:qFormat/>
    <w:rPr>
      <w:rFonts w:ascii="Symbol" w:hAnsi="Symbol"/>
    </w:rPr>
  </w:style>
  <w:style w:type="character" w:styleId="WWCharLFO4LVL2">
    <w:name w:val="WW_CharLFO4LVL2"/>
    <w:qFormat/>
    <w:rPr>
      <w:rFonts w:ascii="Courier New" w:hAnsi="Courier New" w:cs="Courier New"/>
    </w:rPr>
  </w:style>
  <w:style w:type="character" w:styleId="WWCharLFO4LVL3">
    <w:name w:val="WW_CharLFO4LVL3"/>
    <w:qFormat/>
    <w:rPr>
      <w:rFonts w:ascii="Wingdings" w:hAnsi="Wingdings"/>
    </w:rPr>
  </w:style>
  <w:style w:type="character" w:styleId="WWCharLFO4LVL4">
    <w:name w:val="WW_CharLFO4LVL4"/>
    <w:qFormat/>
    <w:rPr>
      <w:rFonts w:ascii="Symbol" w:hAnsi="Symbol"/>
    </w:rPr>
  </w:style>
  <w:style w:type="character" w:styleId="WWCharLFO4LVL5">
    <w:name w:val="WW_CharLFO4LVL5"/>
    <w:qFormat/>
    <w:rPr>
      <w:rFonts w:ascii="Courier New" w:hAnsi="Courier New" w:cs="Courier New"/>
    </w:rPr>
  </w:style>
  <w:style w:type="character" w:styleId="WWCharLFO4LVL6">
    <w:name w:val="WW_CharLFO4LVL6"/>
    <w:qFormat/>
    <w:rPr>
      <w:rFonts w:ascii="Wingdings" w:hAnsi="Wingdings"/>
    </w:rPr>
  </w:style>
  <w:style w:type="character" w:styleId="WWCharLFO4LVL7">
    <w:name w:val="WW_CharLFO4LVL7"/>
    <w:qFormat/>
    <w:rPr>
      <w:rFonts w:ascii="Symbol" w:hAnsi="Symbol"/>
    </w:rPr>
  </w:style>
  <w:style w:type="character" w:styleId="WWCharLFO4LVL8">
    <w:name w:val="WW_CharLFO4LVL8"/>
    <w:qFormat/>
    <w:rPr>
      <w:rFonts w:ascii="Courier New" w:hAnsi="Courier New" w:cs="Courier New"/>
    </w:rPr>
  </w:style>
  <w:style w:type="character" w:styleId="WWCharLFO4LVL9">
    <w:name w:val="WW_CharLFO4LVL9"/>
    <w:qFormat/>
    <w:rPr>
      <w:rFonts w:ascii="Wingdings" w:hAnsi="Wingdings"/>
    </w:rPr>
  </w:style>
  <w:style w:type="character" w:styleId="Puces">
    <w:name w:val="Puces"/>
    <w:qFormat/>
    <w:rPr>
      <w:rFonts w:ascii="OpenSymbol" w:hAnsi="OpenSymbol" w:eastAsia="OpenSymbol" w:cs="OpenSymbol"/>
    </w:rPr>
  </w:style>
  <w:style w:type="paragraph" w:styleId="Titre">
    <w:name w:val="Titre"/>
    <w:basedOn w:val="Normal"/>
    <w:next w:val="BodyText"/>
    <w:qFormat/>
    <w:pPr>
      <w:keepNext w:val="true"/>
      <w:suppressAutoHyphens w:val="true"/>
      <w:spacing w:before="240" w:after="120"/>
    </w:pPr>
    <w:rPr>
      <w:rFonts w:ascii="Liberation Sans" w:hAnsi="Liberation Sans" w:eastAsia="Noto Sans CJK SC" w:cs="Lohit Devanagari"/>
      <w:sz w:val="28"/>
      <w:szCs w:val="28"/>
    </w:rPr>
  </w:style>
  <w:style w:type="paragraph" w:styleId="BodyText">
    <w:name w:val="Body Text"/>
    <w:basedOn w:val="Normal"/>
    <w:pPr>
      <w:suppressAutoHyphens w:val="true"/>
      <w:spacing w:lineRule="auto" w:line="276" w:before="0" w:after="140"/>
    </w:pPr>
    <w:rPr/>
  </w:style>
  <w:style w:type="paragraph" w:styleId="List">
    <w:name w:val="List"/>
    <w:basedOn w:val="BodyText"/>
    <w:qFormat/>
    <w:pPr>
      <w:suppressAutoHyphens w:val="true"/>
    </w:pPr>
    <w:rPr>
      <w:rFonts w:cs="Lohit Devanagari"/>
    </w:rPr>
  </w:style>
  <w:style w:type="paragraph" w:styleId="Caption">
    <w:name w:val="caption"/>
    <w:basedOn w:val="Normal"/>
    <w:qFormat/>
    <w:pPr>
      <w:suppressLineNumbers/>
      <w:suppressAutoHyphens w:val="true"/>
      <w:spacing w:before="120" w:after="120"/>
    </w:pPr>
    <w:rPr>
      <w:rFonts w:cs="Lohit Devanagari"/>
      <w:i/>
      <w:iCs/>
    </w:rPr>
  </w:style>
  <w:style w:type="paragraph" w:styleId="Index">
    <w:name w:val="Index"/>
    <w:basedOn w:val="Normal"/>
    <w:qFormat/>
    <w:pPr>
      <w:suppressLineNumbers/>
      <w:suppressAutoHyphens w:val="true"/>
    </w:pPr>
    <w:rPr>
      <w:rFonts w:cs="Lohit Devanagari"/>
    </w:rPr>
  </w:style>
  <w:style w:type="paragraph" w:styleId="Titreuser">
    <w:name w:val="Titre (user)"/>
    <w:basedOn w:val="Normal"/>
    <w:next w:val="Normal"/>
    <w:qFormat/>
    <w:pPr>
      <w:suppressAutoHyphens w:val="true"/>
      <w:spacing w:before="0" w:after="80"/>
      <w:contextualSpacing/>
    </w:pPr>
    <w:rPr>
      <w:rFonts w:ascii="Aptos Display" w:hAnsi="Aptos Display" w:eastAsia="Aptos" w:cs="DejaVu Sans"/>
      <w:spacing w:val="-10"/>
      <w:sz w:val="56"/>
      <w:szCs w:val="56"/>
    </w:rPr>
  </w:style>
  <w:style w:type="paragraph" w:styleId="Normal1">
    <w:name w:val="Normal1"/>
    <w:qFormat/>
    <w:pPr>
      <w:keepNext w:val="false"/>
      <w:keepLines w:val="false"/>
      <w:pageBreakBefore w:val="false"/>
      <w:widowControl w:val="false"/>
      <w:shd w:val="clear" w:fill="auto"/>
      <w:suppressAutoHyphens w:val="true"/>
      <w:overflowPunct w:val="true"/>
      <w:bidi w:val="0"/>
      <w:snapToGrid w:val="true"/>
      <w:spacing w:lineRule="auto" w:line="240" w:before="0" w:after="0"/>
      <w:jc w:val="left"/>
    </w:pPr>
    <w:rPr>
      <w:rFonts w:ascii="Aptos" w:hAnsi="Aptos" w:eastAsia="Aptos" w:cs="DejaVu Sans"/>
      <w:b w:val="false"/>
      <w:bCs w:val="false"/>
      <w:i w:val="false"/>
      <w:iCs w:val="false"/>
      <w:caps w:val="false"/>
      <w:smallCaps w:val="false"/>
      <w:strike w:val="false"/>
      <w:dstrike w:val="false"/>
      <w:outline w:val="false"/>
      <w:emboss w:val="false"/>
      <w:imprint w:val="false"/>
      <w:color w:val="000000"/>
      <w:spacing w:val="0"/>
      <w:w w:val="100"/>
      <w:kern w:val="2"/>
      <w:position w:val="0"/>
      <w:sz w:val="24"/>
      <w:sz w:val="24"/>
      <w:szCs w:val="24"/>
      <w:u w:val="none"/>
      <w:shd w:fill="auto" w:val="clear"/>
      <w:vertAlign w:val="baseline"/>
      <w:em w:val="none"/>
      <w:lang w:val="fr-FR" w:eastAsia="en-US" w:bidi="ar-SA"/>
    </w:rPr>
  </w:style>
  <w:style w:type="paragraph" w:styleId="Subtitle">
    <w:name w:val="Subtitle"/>
    <w:basedOn w:val="Normal"/>
    <w:next w:val="Normal"/>
    <w:qFormat/>
    <w:pPr>
      <w:suppressAutoHyphens w:val="true"/>
    </w:pPr>
    <w:rPr>
      <w:rFonts w:eastAsia="Aptos" w:cs="DejaVu Sans"/>
      <w:color w:val="595959"/>
      <w:spacing w:val="15"/>
      <w:sz w:val="28"/>
      <w:szCs w:val="28"/>
    </w:rPr>
  </w:style>
  <w:style w:type="paragraph" w:styleId="Citation">
    <w:name w:val="Citation"/>
    <w:basedOn w:val="Normal"/>
    <w:next w:val="Normal"/>
    <w:qFormat/>
    <w:pPr>
      <w:suppressAutoHyphens w:val="true"/>
      <w:spacing w:before="160" w:after="0"/>
      <w:jc w:val="center"/>
    </w:pPr>
    <w:rPr>
      <w:i/>
      <w:iCs/>
      <w:color w:val="404040"/>
    </w:rPr>
  </w:style>
  <w:style w:type="paragraph" w:styleId="Paragraphedeliste">
    <w:name w:val="Paragraphe de liste"/>
    <w:basedOn w:val="Normal"/>
    <w:qFormat/>
    <w:pPr>
      <w:tabs>
        <w:tab w:val="clear" w:pos="708"/>
      </w:tabs>
      <w:suppressAutoHyphens w:val="true"/>
      <w:spacing w:before="0" w:after="0"/>
      <w:ind w:left="720"/>
      <w:contextualSpacing/>
    </w:pPr>
    <w:rPr/>
  </w:style>
  <w:style w:type="paragraph" w:styleId="Citationintense">
    <w:name w:val="Citation intense"/>
    <w:basedOn w:val="Normal"/>
    <w:next w:val="Normal"/>
    <w:qFormat/>
    <w:pPr>
      <w:pBdr>
        <w:top w:val="single" w:sz="4" w:space="10" w:color="0F4761"/>
        <w:bottom w:val="single" w:sz="4" w:space="10" w:color="0F4761"/>
      </w:pBdr>
      <w:tabs>
        <w:tab w:val="clear" w:pos="708"/>
      </w:tabs>
      <w:suppressAutoHyphens w:val="true"/>
      <w:spacing w:before="360" w:after="360"/>
      <w:ind w:left="864" w:right="864"/>
      <w:jc w:val="center"/>
    </w:pPr>
    <w:rPr>
      <w:i/>
      <w:iCs/>
      <w:color w:val="0F4761"/>
    </w:rPr>
  </w:style>
  <w:style w:type="paragraph" w:styleId="Standard">
    <w:name w:val="Standard"/>
    <w:qFormat/>
    <w:pPr>
      <w:keepNext w:val="false"/>
      <w:keepLines w:val="false"/>
      <w:pageBreakBefore w:val="false"/>
      <w:widowControl w:val="false"/>
      <w:shd w:val="clear" w:fill="auto"/>
      <w:suppressAutoHyphens w:val="true"/>
      <w:overflowPunct w:val="true"/>
      <w:bidi w:val="0"/>
      <w:snapToGrid w:val="true"/>
      <w:spacing w:lineRule="auto" w:line="240" w:before="57" w:after="57"/>
      <w:jc w:val="both"/>
    </w:pPr>
    <w:rPr>
      <w:rFonts w:ascii="Marianne" w:hAnsi="Marianne" w:eastAsia="Marianne" w:cs="Marianne"/>
      <w:b w:val="false"/>
      <w:bCs w:val="false"/>
      <w:i w:val="false"/>
      <w:iCs w:val="false"/>
      <w:caps w:val="false"/>
      <w:smallCaps w:val="false"/>
      <w:strike w:val="false"/>
      <w:dstrike w:val="false"/>
      <w:outline w:val="false"/>
      <w:emboss w:val="false"/>
      <w:imprint w:val="false"/>
      <w:color w:val="000000"/>
      <w:spacing w:val="0"/>
      <w:w w:val="100"/>
      <w:kern w:val="2"/>
      <w:position w:val="0"/>
      <w:sz w:val="20"/>
      <w:sz w:val="20"/>
      <w:szCs w:val="24"/>
      <w:u w:val="none"/>
      <w:shd w:fill="auto" w:val="clear"/>
      <w:vertAlign w:val="baseline"/>
      <w:em w:val="none"/>
      <w:lang w:val="fr-FR" w:eastAsia="zh-CN" w:bidi="hi-IN"/>
    </w:rPr>
  </w:style>
  <w:style w:type="paragraph" w:styleId="Textbody">
    <w:name w:val="Text body"/>
    <w:basedOn w:val="Standard"/>
    <w:qFormat/>
    <w:pPr>
      <w:suppressAutoHyphens w:val="true"/>
      <w:spacing w:lineRule="auto" w:line="288" w:before="0" w:after="140"/>
    </w:pPr>
    <w:rPr/>
  </w:style>
  <w:style w:type="paragraph" w:styleId="Contenudetableau">
    <w:name w:val="Contenu de tableau"/>
    <w:basedOn w:val="Standard"/>
    <w:qFormat/>
    <w:pPr>
      <w:suppressLineNumbers/>
      <w:suppressAutoHyphens w:val="true"/>
    </w:pPr>
    <w:rPr/>
  </w:style>
  <w:style w:type="paragraph" w:styleId="NormalWeb">
    <w:name w:val="Normal (Web)"/>
    <w:basedOn w:val="Standard"/>
    <w:qFormat/>
    <w:pPr>
      <w:suppressAutoHyphens w:val="true"/>
      <w:spacing w:before="100" w:after="100"/>
      <w:jc w:val="left"/>
      <w:textAlignment w:val="auto"/>
    </w:pPr>
    <w:rPr>
      <w:rFonts w:ascii="Times New Roman" w:hAnsi="Times New Roman" w:eastAsia="Times New Roman" w:cs="Times New Roman"/>
      <w:sz w:val="24"/>
    </w:rPr>
  </w:style>
  <w:style w:type="paragraph" w:styleId="En-tteetpieddepage">
    <w:name w:val="En-tête et pied de page"/>
    <w:basedOn w:val="Normal"/>
    <w:qFormat/>
    <w:pPr>
      <w:suppressAutoHyphens w:val="true"/>
    </w:pPr>
    <w:rPr/>
  </w:style>
  <w:style w:type="paragraph" w:styleId="En-tteetpieddepageuser">
    <w:name w:val="En-tête et pied de page (user)"/>
    <w:basedOn w:val="Normal"/>
    <w:qFormat/>
    <w:pPr/>
    <w:rPr/>
  </w:style>
  <w:style w:type="paragraph" w:styleId="Footer">
    <w:name w:val="footer"/>
    <w:basedOn w:val="En-tteetpieddepage"/>
    <w:qFormat/>
    <w:pPr>
      <w:suppressLineNumbers/>
      <w:tabs>
        <w:tab w:val="clear" w:pos="708"/>
        <w:tab w:val="center" w:pos="4819" w:leader="none"/>
        <w:tab w:val="right" w:pos="9638" w:leader="none"/>
      </w:tabs>
    </w:pPr>
    <w:rPr/>
  </w:style>
  <w:style w:type="paragraph" w:styleId="Stylepardfaut2">
    <w:name w:val="Style par défaut 2"/>
    <w:basedOn w:val="Standard"/>
    <w:qFormat/>
    <w:pPr>
      <w:suppressAutoHyphens w:val="true"/>
    </w:pPr>
    <w:rPr>
      <w:b/>
    </w:rPr>
  </w:style>
  <w:style w:type="paragraph" w:styleId="Header">
    <w:name w:val="header"/>
    <w:basedOn w:val="Normal"/>
    <w:qFormat/>
    <w:pPr>
      <w:tabs>
        <w:tab w:val="clear" w:pos="708"/>
        <w:tab w:val="center" w:pos="4536" w:leader="none"/>
        <w:tab w:val="right" w:pos="9072" w:leader="none"/>
      </w:tabs>
      <w:suppressAutoHyphens w:val="true"/>
    </w:pPr>
    <w:rPr>
      <w:szCs w:val="21"/>
    </w:rPr>
  </w:style>
  <w:style w:type="paragraph" w:styleId="Titredetableau">
    <w:name w:val="Titre de tableau"/>
    <w:basedOn w:val="Contenudetableau"/>
    <w:qFormat/>
    <w:pPr>
      <w:suppressAutoHyphens w:val="true"/>
      <w:jc w:val="center"/>
    </w:pPr>
    <w:rPr>
      <w:b/>
      <w:bCs/>
    </w:rPr>
  </w:style>
  <w:style w:type="paragraph" w:styleId="Commentaire">
    <w:name w:val="Commentaire"/>
    <w:basedOn w:val="Normal"/>
    <w:qFormat/>
    <w:pPr>
      <w:spacing w:before="56" w:after="0"/>
      <w:ind w:left="56" w:right="56"/>
    </w:pPr>
    <w:rPr>
      <w:sz w:val="20"/>
      <w:szCs w:val="20"/>
    </w:rPr>
  </w:style>
  <w:style w:type="paragraph" w:styleId="Standard1">
    <w:name w:val="Standard1"/>
    <w:qFormat/>
    <w:pPr>
      <w:widowControl/>
      <w:suppressAutoHyphens w:val="true"/>
      <w:bidi w:val="0"/>
      <w:spacing w:before="57" w:after="57"/>
      <w:jc w:val="both"/>
    </w:pPr>
    <w:rPr>
      <w:rFonts w:ascii="Marianne" w:hAnsi="Marianne" w:eastAsia="Marianne" w:cs="Marianne"/>
      <w:color w:val="auto"/>
      <w:kern w:val="2"/>
      <w:sz w:val="20"/>
      <w:szCs w:val="24"/>
      <w:lang w:eastAsia="zh-CN" w:bidi="hi-IN" w:val="fr-F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449</TotalTime>
  <Application>LibreOffice/24.8.5.2$Linux_X86_64 LibreOffice_project/480$Build-2</Application>
  <AppVersion>15.0000</AppVersion>
  <Pages>8</Pages>
  <Words>700</Words>
  <Characters>3885</Characters>
  <CharactersWithSpaces>4524</CharactersWithSpaces>
  <Paragraphs>71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2025-07-17T12:52:00Z</dcterms:created>
  <dc:creator>Nicolas LeDuff</dc:creator>
  <dc:description/>
  <dc:language>fr-FR</dc:language>
  <cp:lastModifiedBy/>
  <dcterms:modified xsi:type="dcterms:W3CDTF">2026-03-25T09:52:16Z</dcterms:modified>
  <cp:revision>68</cp:revision>
  <dc:subject/>
  <dc:title/>
</cp:coreProperties>
</file>

<file path=docProps/custom.xml><?xml version="1.0" encoding="utf-8"?>
<Properties xmlns="http://schemas.openxmlformats.org/officeDocument/2006/custom-properties" xmlns:vt="http://schemas.openxmlformats.org/officeDocument/2006/docPropsVTypes"/>
</file>